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right"/>
        <w:rPr>
          <w:rFonts w:hint="default" w:ascii="仿宋_GB2312" w:hAnsi="宋体" w:eastAsia="仿宋_GB2312" w:cs="黑体"/>
          <w:color w:val="000000"/>
          <w:sz w:val="32"/>
          <w:szCs w:val="32"/>
          <w:lang w:val="en-US" w:eastAsia="zh-CN"/>
        </w:rPr>
      </w:pPr>
      <w:bookmarkStart w:id="0" w:name="_GoBack"/>
      <w:bookmarkEnd w:id="0"/>
      <w:r>
        <w:rPr>
          <w:rFonts w:hint="eastAsia" w:ascii="仿宋_GB2312" w:hAnsi="宋体" w:eastAsia="仿宋_GB2312" w:cs="黑体"/>
          <w:color w:val="000000"/>
          <w:sz w:val="32"/>
          <w:szCs w:val="32"/>
        </w:rPr>
        <w:t>FJ00428-2500-2024-000</w:t>
      </w:r>
      <w:r>
        <w:rPr>
          <w:rFonts w:hint="eastAsia" w:ascii="仿宋_GB2312" w:hAnsi="宋体" w:eastAsia="仿宋_GB2312" w:cs="黑体"/>
          <w:color w:val="000000"/>
          <w:sz w:val="32"/>
          <w:szCs w:val="32"/>
          <w:lang w:val="en-US" w:eastAsia="zh-CN"/>
        </w:rPr>
        <w:t>23</w:t>
      </w:r>
    </w:p>
    <w:p>
      <w:pPr>
        <w:spacing w:line="560" w:lineRule="exact"/>
        <w:jc w:val="center"/>
        <w:rPr>
          <w:rFonts w:hint="eastAsia" w:ascii="仿宋_GB2312" w:hAnsi="宋体" w:eastAsia="仿宋_GB2312"/>
          <w:color w:val="000000"/>
          <w:sz w:val="32"/>
          <w:szCs w:val="32"/>
        </w:rPr>
      </w:pPr>
    </w:p>
    <w:p>
      <w:pPr>
        <w:spacing w:line="560" w:lineRule="exact"/>
        <w:jc w:val="center"/>
        <w:rPr>
          <w:rFonts w:ascii="仿宋_GB2312" w:hAnsi="宋体" w:eastAsia="仿宋_GB2312"/>
          <w:color w:val="000000"/>
          <w:sz w:val="32"/>
          <w:szCs w:val="32"/>
        </w:rPr>
      </w:pPr>
    </w:p>
    <w:p>
      <w:pPr>
        <w:spacing w:line="560" w:lineRule="exact"/>
        <w:jc w:val="center"/>
        <w:rPr>
          <w:rFonts w:ascii="仿宋_GB2312" w:hAnsi="宋体" w:eastAsia="仿宋_GB2312"/>
          <w:color w:val="000000"/>
          <w:sz w:val="32"/>
          <w:szCs w:val="32"/>
        </w:rPr>
      </w:pPr>
    </w:p>
    <w:p>
      <w:pPr>
        <w:spacing w:line="560" w:lineRule="exact"/>
        <w:jc w:val="center"/>
        <w:rPr>
          <w:rFonts w:ascii="仿宋_GB2312" w:hAnsi="宋体" w:eastAsia="仿宋_GB2312"/>
          <w:color w:val="000000"/>
          <w:sz w:val="32"/>
          <w:szCs w:val="32"/>
        </w:rPr>
      </w:pPr>
    </w:p>
    <w:p>
      <w:pPr>
        <w:spacing w:line="560" w:lineRule="exact"/>
        <w:jc w:val="center"/>
        <w:rPr>
          <w:rFonts w:ascii="仿宋_GB2312" w:hAnsi="宋体" w:eastAsia="仿宋_GB2312"/>
          <w:color w:val="000000"/>
          <w:sz w:val="32"/>
          <w:szCs w:val="32"/>
        </w:rPr>
      </w:pPr>
      <w:r>
        <w:rPr>
          <w:rFonts w:hint="eastAsi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2457450</wp:posOffset>
                </wp:positionV>
                <wp:extent cx="5615940" cy="792480"/>
                <wp:effectExtent l="0" t="0" r="0" b="0"/>
                <wp:wrapNone/>
                <wp:docPr id="2" name="SubjectText"/>
                <wp:cNvGraphicFramePr/>
                <a:graphic xmlns:a="http://schemas.openxmlformats.org/drawingml/2006/main">
                  <a:graphicData uri="http://schemas.microsoft.com/office/word/2010/wordprocessingShape">
                    <wps:wsp>
                      <wps:cNvSpPr txBox="1"/>
                      <wps:spPr>
                        <a:xfrm>
                          <a:off x="0" y="0"/>
                          <a:ext cx="5615940" cy="792480"/>
                        </a:xfrm>
                        <a:prstGeom prst="rect">
                          <a:avLst/>
                        </a:prstGeom>
                        <a:noFill/>
                        <a:ln>
                          <a:noFill/>
                        </a:ln>
                      </wps:spPr>
                      <wps:txbx>
                        <w:txbxContent>
                          <w:p>
                            <w:pPr>
                              <w:adjustRightInd w:val="0"/>
                              <w:snapToGrid w:val="0"/>
                              <w:spacing w:line="1140" w:lineRule="exact"/>
                              <w:jc w:val="distribute"/>
                              <w:rPr>
                                <w:b w:val="0"/>
                                <w:bCs w:val="0"/>
                                <w:w w:val="68"/>
                              </w:rPr>
                            </w:pPr>
                            <w:r>
                              <w:rPr>
                                <w:rFonts w:hint="eastAsia" w:ascii="方正小标宋简体" w:eastAsia="方正小标宋简体"/>
                                <w:b w:val="0"/>
                                <w:bCs w:val="0"/>
                                <w:snapToGrid w:val="0"/>
                                <w:color w:val="FF0000"/>
                                <w:w w:val="68"/>
                                <w:kern w:val="0"/>
                                <w:sz w:val="108"/>
                                <w:szCs w:val="108"/>
                              </w:rPr>
                              <w:t>福建省广播电视局文件</w:t>
                            </w:r>
                          </w:p>
                        </w:txbxContent>
                      </wps:txbx>
                      <wps:bodyPr lIns="0" tIns="0" rIns="0" bIns="0" upright="1"/>
                    </wps:wsp>
                  </a:graphicData>
                </a:graphic>
              </wp:anchor>
            </w:drawing>
          </mc:Choice>
          <mc:Fallback>
            <w:pict>
              <v:shape id="SubjectText" o:spid="_x0000_s1026" o:spt="202" type="#_x0000_t202" style="position:absolute;left:0pt;margin-top:193.5pt;height:62.4pt;width:442.2pt;mso-position-horizontal:center;mso-position-horizontal-relative:margin;mso-position-vertical-relative:page;z-index:251660288;mso-width-relative:page;mso-height-relative:page;" filled="f" stroked="f" coordsize="21600,21600" o:gfxdata="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qVhd7Y&#10;AAAACAEAAA8AAAAAAAAAAQAgAAAAIgAAAGRycy9kb3ducmV2LnhtbFBLAQIUABQAAAAIAIdO4kA5&#10;DdhGrgEAAHIDAAAOAAAAAAAAAAEAIAAAACcBAABkcnMvZTJvRG9jLnhtbFBLBQYAAAAABgAGAFkB&#10;AABHBQAAAAA=&#10;">
                <v:fill on="f" focussize="0,0"/>
                <v:stroke on="f"/>
                <v:imagedata o:title=""/>
                <o:lock v:ext="edit" aspectratio="f"/>
                <v:textbox inset="0mm,0mm,0mm,0mm">
                  <w:txbxContent>
                    <w:p>
                      <w:pPr>
                        <w:adjustRightInd w:val="0"/>
                        <w:snapToGrid w:val="0"/>
                        <w:spacing w:line="1140" w:lineRule="exact"/>
                        <w:jc w:val="distribute"/>
                        <w:rPr>
                          <w:b w:val="0"/>
                          <w:bCs w:val="0"/>
                          <w:w w:val="68"/>
                        </w:rPr>
                      </w:pPr>
                      <w:r>
                        <w:rPr>
                          <w:rFonts w:hint="eastAsia" w:ascii="方正小标宋简体" w:eastAsia="方正小标宋简体"/>
                          <w:b w:val="0"/>
                          <w:bCs w:val="0"/>
                          <w:snapToGrid w:val="0"/>
                          <w:color w:val="FF0000"/>
                          <w:w w:val="68"/>
                          <w:kern w:val="0"/>
                          <w:sz w:val="108"/>
                          <w:szCs w:val="108"/>
                        </w:rPr>
                        <w:t>福建省广播电视局文件</w:t>
                      </w:r>
                    </w:p>
                  </w:txbxContent>
                </v:textbox>
              </v:shape>
            </w:pict>
          </mc:Fallback>
        </mc:AlternateContent>
      </w:r>
    </w:p>
    <w:p>
      <w:pPr>
        <w:spacing w:line="560" w:lineRule="exact"/>
        <w:jc w:val="center"/>
        <w:rPr>
          <w:rFonts w:ascii="仿宋_GB2312" w:hAnsi="宋体" w:eastAsia="仿宋_GB2312"/>
          <w:color w:val="000000"/>
          <w:sz w:val="32"/>
          <w:szCs w:val="32"/>
        </w:rPr>
      </w:pPr>
    </w:p>
    <w:p>
      <w:pPr>
        <w:spacing w:line="560" w:lineRule="exact"/>
        <w:jc w:val="center"/>
        <w:rPr>
          <w:rFonts w:ascii="仿宋_GB2312" w:hAnsi="宋体" w:eastAsia="仿宋_GB2312"/>
          <w:color w:val="000000"/>
          <w:sz w:val="32"/>
          <w:szCs w:val="32"/>
        </w:rPr>
      </w:pPr>
    </w:p>
    <w:p>
      <w:pPr>
        <w:spacing w:line="560" w:lineRule="exact"/>
        <w:jc w:val="center"/>
        <w:rPr>
          <w:rFonts w:ascii="楷体_GB2312" w:hAnsi="宋体" w:eastAsia="楷体_GB2312"/>
          <w:color w:val="000000"/>
          <w:sz w:val="32"/>
          <w:szCs w:val="32"/>
        </w:rPr>
      </w:pPr>
      <w:r>
        <w:rPr>
          <w:rFonts w:hint="eastAsia" w:ascii="仿宋_GB2312" w:hAnsi="宋体" w:eastAsia="仿宋_GB2312"/>
          <w:color w:val="000000"/>
          <w:sz w:val="32"/>
          <w:szCs w:val="32"/>
        </w:rPr>
        <w:t>闽广〔2024〕114号</w:t>
      </w:r>
    </w:p>
    <w:p>
      <w:pPr>
        <w:adjustRightInd w:val="0"/>
        <w:spacing w:line="560" w:lineRule="exact"/>
        <w:jc w:val="center"/>
        <w:rPr>
          <w:rFonts w:ascii="方正小标宋简体" w:eastAsia="方正小标宋简体"/>
          <w:sz w:val="44"/>
          <w:szCs w:val="44"/>
        </w:rPr>
      </w:pPr>
      <w:r>
        <mc:AlternateContent>
          <mc:Choice Requires="wps">
            <w:drawing>
              <wp:anchor distT="0" distB="0" distL="114300" distR="114300" simplePos="0" relativeHeight="251661312" behindDoc="0" locked="0" layoutInCell="1" allowOverlap="1">
                <wp:simplePos x="0" y="0"/>
                <wp:positionH relativeFrom="column">
                  <wp:posOffset>-150495</wp:posOffset>
                </wp:positionH>
                <wp:positionV relativeFrom="paragraph">
                  <wp:posOffset>78740</wp:posOffset>
                </wp:positionV>
                <wp:extent cx="5844540" cy="0"/>
                <wp:effectExtent l="0" t="15875" r="3810" b="22225"/>
                <wp:wrapTopAndBottom/>
                <wp:docPr id="3" name="DocMarkLine"/>
                <wp:cNvGraphicFramePr/>
                <a:graphic xmlns:a="http://schemas.openxmlformats.org/drawingml/2006/main">
                  <a:graphicData uri="http://schemas.microsoft.com/office/word/2010/wordprocessingShape">
                    <wps:wsp>
                      <wps:cNvSpPr/>
                      <wps:spPr>
                        <a:xfrm>
                          <a:off x="0" y="0"/>
                          <a:ext cx="5844540"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DocMarkLine" o:spid="_x0000_s1026" o:spt="20" style="position:absolute;left:0pt;margin-left:-11.85pt;margin-top:6.2pt;height:0pt;width:460.2pt;mso-wrap-distance-bottom:0pt;mso-wrap-distance-top:0pt;z-index:251661312;mso-width-relative:page;mso-height-relative:page;" filled="f" stroked="t" coordsize="21600,21600" o:gfxdata="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kZkdgAAAAJAQAA&#10;DwAAAAAAAAABACAAAAAiAAAAZHJzL2Rvd25yZXYueG1sUEsBAhQAFAAAAAgAh07iQGipwDzgAQAA&#10;3wMAAA4AAAAAAAAAAQAgAAAAJwEAAGRycy9lMm9Eb2MueG1sUEsFBgAAAAAGAAYAWQEAAHkFAAAA&#10;AA==&#10;">
                <v:fill on="f" focussize="0,0"/>
                <v:stroke weight="2.5pt" color="#FF0000" joinstyle="round"/>
                <v:imagedata o:title=""/>
                <o:lock v:ext="edit" aspectratio="f"/>
                <w10:wrap type="topAndBottom"/>
              </v:line>
            </w:pict>
          </mc:Fallback>
        </mc:AlternateContent>
      </w:r>
    </w:p>
    <w:p>
      <w:pPr>
        <w:adjustRightInd w:val="0"/>
        <w:spacing w:line="560" w:lineRule="exact"/>
        <w:jc w:val="center"/>
        <w:rPr>
          <w:rFonts w:ascii="方正小标宋简体" w:eastAsia="方正小标宋简体"/>
          <w:sz w:val="44"/>
          <w:szCs w:val="44"/>
        </w:rPr>
      </w:pPr>
    </w:p>
    <w:p>
      <w:pPr>
        <w:adjustRightIn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福建省广播电视局关于开展2024年</w:t>
      </w:r>
    </w:p>
    <w:p>
      <w:pPr>
        <w:adjustRightIn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“中国梦 新征程”原创网络视听节目</w:t>
      </w:r>
    </w:p>
    <w:p>
      <w:pPr>
        <w:adjustRightIn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征集展播活动的通知</w:t>
      </w:r>
    </w:p>
    <w:p>
      <w:pPr>
        <w:adjustRightInd w:val="0"/>
        <w:spacing w:line="560" w:lineRule="exact"/>
        <w:jc w:val="center"/>
        <w:rPr>
          <w:rFonts w:ascii="方正小标宋简体" w:eastAsia="方正小标宋简体"/>
          <w:sz w:val="44"/>
          <w:szCs w:val="44"/>
        </w:rPr>
      </w:pPr>
    </w:p>
    <w:p>
      <w:pPr>
        <w:spacing w:line="560" w:lineRule="exact"/>
        <w:rPr>
          <w:rFonts w:ascii="仿宋_GB2312" w:hAnsi="宋体" w:eastAsia="仿宋_GB2312"/>
          <w:sz w:val="32"/>
          <w:szCs w:val="32"/>
        </w:rPr>
      </w:pPr>
      <w:r>
        <w:rPr>
          <w:rFonts w:hint="eastAsia" w:ascii="仿宋_GB2312" w:hAnsi="宋体" w:eastAsia="仿宋_GB2312"/>
          <w:sz w:val="32"/>
          <w:szCs w:val="32"/>
        </w:rPr>
        <w:t>各设区市文旅局（广电局），平潭综合实验区党工委宣传与影视发展部，省广播影视集团、福建广电网络集团，福建教育电视台，有关《信息网络传播视听节目许可证》持证机构、广播电视节目制作经营机构及有关单位：</w:t>
      </w:r>
    </w:p>
    <w:p>
      <w:pPr>
        <w:spacing w:line="560" w:lineRule="exact"/>
        <w:ind w:firstLine="640" w:firstLineChars="200"/>
        <w:rPr>
          <w:rFonts w:ascii="仿宋_GB2312" w:hAnsi="仿宋" w:eastAsia="仿宋_GB2312" w:cs="仿宋"/>
          <w:sz w:val="32"/>
          <w:szCs w:val="32"/>
        </w:rPr>
      </w:pPr>
      <w:r>
        <w:rPr>
          <w:rFonts w:hint="eastAsia" w:ascii="仿宋_GB2312" w:hAnsi="宋体" w:eastAsia="仿宋_GB2312"/>
          <w:sz w:val="32"/>
          <w:szCs w:val="32"/>
        </w:rPr>
        <w:t>为深入宣传贯彻习近平新时代中国特色社会主义思想特别是习近平文化思想，深入宣传贯彻党的二十大精神，以网络视听精品凝聚团结奋斗的磅礴力量，奋力走好新征程，同心共筑中国梦。根据广电总局办公厅《关于开展2024年“中国梦 新征程”原创网络视听节目征集展播活动的通知》（广电办发〔2024〕123号）</w:t>
      </w:r>
      <w:r>
        <w:rPr>
          <w:rFonts w:hint="eastAsia" w:ascii="仿宋_GB2312" w:hAnsi="仿宋" w:eastAsia="仿宋_GB2312" w:cs="仿宋"/>
          <w:sz w:val="32"/>
          <w:szCs w:val="32"/>
        </w:rPr>
        <w:t>要求</w:t>
      </w:r>
      <w:r>
        <w:rPr>
          <w:rFonts w:hint="eastAsia" w:ascii="仿宋_GB2312" w:hAnsi="宋体" w:eastAsia="仿宋_GB2312"/>
          <w:sz w:val="32"/>
          <w:szCs w:val="32"/>
        </w:rPr>
        <w:t>,</w:t>
      </w:r>
      <w:r>
        <w:rPr>
          <w:rFonts w:hint="eastAsia" w:ascii="仿宋_GB2312" w:hAnsi="仿宋" w:eastAsia="仿宋_GB2312" w:cs="仿宋"/>
          <w:sz w:val="32"/>
          <w:szCs w:val="32"/>
        </w:rPr>
        <w:t>省局决定组织</w:t>
      </w:r>
      <w:r>
        <w:rPr>
          <w:rFonts w:hint="eastAsia" w:ascii="仿宋_GB2312" w:hAnsi="宋体" w:eastAsia="仿宋_GB2312"/>
          <w:sz w:val="32"/>
          <w:szCs w:val="32"/>
        </w:rPr>
        <w:t>开展2024年“中国梦 新征程”原创网络视听节目征集展播活动</w:t>
      </w:r>
      <w:r>
        <w:rPr>
          <w:rFonts w:hint="eastAsia" w:ascii="仿宋_GB2312" w:hAnsi="仿宋" w:eastAsia="仿宋_GB2312" w:cs="仿宋"/>
          <w:sz w:val="32"/>
          <w:szCs w:val="32"/>
        </w:rPr>
        <w:t>。现将有关事项通知如下：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一、参评对象</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参评作品应为2023年7月1日至2024年6月30日期间首播的优秀原创网络视听节目。节目类别涵盖网络纪录片、网络综艺节目、网络动画片、网络剧、网络微短剧、网络电影、网络微电影、网络音频节目、短视频、网络公益短片。尚未在网络视听平台上线播出的作品暂不参评，申报机构或个人应为节目版权所有者。</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二、参评要求</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参评参展作品应坚持以习近平新时代中国特色社会主义思想为指导，全面贯彻落实党的二十大精神，深入贯彻落实习近平文化思想，坚持正确政治方向、舆论导向、价值取向，坚持以人民为中心的创作导向，坚持思想精深、艺术精湛、制作精良相统一。重点征集围绕“中国梦、新征程”主题，在以下方面创作水平高、传播效果好的网络视听节目进行展播：</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高举思想旗帜，服务党和国家工作大局。深入生动宣传阐释习近平新时代中国特色社会主义思想，紧扣学习宣传贯彻党的二十大精神主题主线，聚焦中国式现代化、贯彻新发展理念、乡村振兴、生态文明建设等重大主题，生动展现全面建设社会主义现代化国家新征程上取得的历史性成就、发生的历史性变革。</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彰显爱国主义，弘扬社会主义核心价值观。围绕庆祝新中国成立75周年，生动展现以伟大建党精神为源头的中国共产党人精神谱系，润物无声地深化爱国主义、集体主义、社会主义教育，推动见贤思齐、崇尚英雄、争做先锋，倡导劳动精神、奋斗精神、奉献精神、创作精神、勤俭节约精神，引导人民不断坚定中国特色社会主义共同理想。</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坚定文化自信，推动文化传承发展。坚守中华文化立场，坚持古为今用、推陈出新，生动展现中华文明突出的连续性、创新性、统一性、包容性、和平性，推动中华优秀传统文化创造性转化、创新性发展，以守正创新的正气和锐气，赓续历史文脉、谱写当代华章。</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扎根现实生活，增强人民群众精神力量。把握人民群众日益增长的精神文化需求，植根人民实践，紧跟时代潮流，用现实主义精神和浪漫主义情怀关照现实生活，顺应人民意愿，反映人民关切，讴歌奋斗人生，刻画最美人物，讲好中国人追梦、筑梦、圆梦故事，书写生生不息的人民史诗。 </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促进文化交流，对外讲好中国故事。把握国际传播领域移动化、社交化、可视化趋势，秉持开放包容，学习借鉴国外优秀文艺，促进外来文化本土化，彰显中国审美旨趣、传播当代中国价值观念、反映全人类共同价值追求，在国际市场竞争中赢得海外受众，展现可信、可爱、可敬的中国形象。</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积极创新创造，开辟网络视听文艺新境界。把握互联网技术和新媒体对文艺形态的深刻影响，在坚守主流价值观念和文艺审美追求的前提下，充分发挥网络视听“艺术＋技术”优势，勇于创新观念、内容、风格、流派，积极革新题材、体裁、形式、手段，大力提升创意水平，积极拓展艺术表达疆域。</w:t>
      </w:r>
    </w:p>
    <w:p>
      <w:pPr>
        <w:spacing w:line="560" w:lineRule="exact"/>
        <w:ind w:firstLine="645"/>
        <w:rPr>
          <w:rFonts w:ascii="仿宋_GB2312" w:hAnsi="仿宋" w:eastAsia="仿宋_GB2312" w:cs="仿宋"/>
          <w:sz w:val="32"/>
          <w:szCs w:val="32"/>
        </w:rPr>
      </w:pPr>
      <w:r>
        <w:rPr>
          <w:rFonts w:hint="eastAsia" w:ascii="仿宋_GB2312" w:hAnsi="仿宋" w:eastAsia="仿宋_GB2312" w:cs="仿宋"/>
          <w:sz w:val="32"/>
          <w:szCs w:val="32"/>
        </w:rPr>
        <w:t>（七）反映和体现福建多元丰富的红色文化、福文化、海洋文化等特色题材的原创网络视听节目作品。</w:t>
      </w:r>
    </w:p>
    <w:p>
      <w:pPr>
        <w:spacing w:line="560" w:lineRule="exact"/>
        <w:ind w:firstLine="645"/>
        <w:rPr>
          <w:rFonts w:ascii="黑体" w:hAnsi="黑体" w:eastAsia="黑体" w:cs="黑体"/>
          <w:bCs/>
          <w:sz w:val="32"/>
          <w:szCs w:val="32"/>
        </w:rPr>
      </w:pPr>
      <w:r>
        <w:rPr>
          <w:rFonts w:hint="eastAsia" w:ascii="黑体" w:hAnsi="黑体" w:eastAsia="黑体" w:cs="黑体"/>
          <w:bCs/>
          <w:sz w:val="32"/>
          <w:szCs w:val="32"/>
        </w:rPr>
        <w:t>三、活动内容</w:t>
      </w:r>
    </w:p>
    <w:p>
      <w:pPr>
        <w:spacing w:line="560" w:lineRule="exact"/>
        <w:ind w:firstLine="645"/>
        <w:rPr>
          <w:rFonts w:ascii="楷体_GB2312" w:hAnsi="仿宋" w:eastAsia="楷体_GB2312" w:cs="仿宋"/>
          <w:sz w:val="32"/>
          <w:szCs w:val="32"/>
        </w:rPr>
      </w:pPr>
      <w:r>
        <w:rPr>
          <w:rFonts w:hint="eastAsia" w:ascii="楷体_GB2312" w:hAnsi="仿宋" w:eastAsia="楷体_GB2312" w:cs="仿宋"/>
          <w:sz w:val="32"/>
          <w:szCs w:val="32"/>
        </w:rPr>
        <w:t>（一）节目征集与初评</w:t>
      </w:r>
    </w:p>
    <w:p>
      <w:pPr>
        <w:spacing w:line="560" w:lineRule="exact"/>
        <w:ind w:firstLine="645"/>
        <w:rPr>
          <w:rFonts w:ascii="仿宋_GB2312" w:hAnsi="仿宋" w:eastAsia="仿宋_GB2312" w:cs="仿宋"/>
          <w:sz w:val="32"/>
          <w:szCs w:val="32"/>
        </w:rPr>
      </w:pPr>
      <w:r>
        <w:rPr>
          <w:rFonts w:hint="eastAsia" w:ascii="仿宋_GB2312" w:hAnsi="仿宋" w:eastAsia="仿宋_GB2312" w:cs="仿宋"/>
          <w:sz w:val="32"/>
          <w:szCs w:val="32"/>
        </w:rPr>
        <w:t>互联网视听节目服务单位、广播电视节目制作经营机构、相关行业影视节目制作机构、相关大专院校（院系）等可参与本次节目征集活动。</w:t>
      </w:r>
    </w:p>
    <w:p>
      <w:pPr>
        <w:spacing w:line="560" w:lineRule="exact"/>
        <w:ind w:firstLine="645"/>
        <w:rPr>
          <w:rFonts w:ascii="仿宋_GB2312" w:hAnsi="仿宋" w:eastAsia="仿宋_GB2312" w:cs="仿宋"/>
          <w:sz w:val="32"/>
          <w:szCs w:val="32"/>
        </w:rPr>
      </w:pPr>
      <w:r>
        <w:rPr>
          <w:rFonts w:hint="eastAsia" w:ascii="仿宋_GB2312" w:hAnsi="仿宋" w:eastAsia="仿宋_GB2312" w:cs="仿宋"/>
          <w:sz w:val="32"/>
          <w:szCs w:val="32"/>
        </w:rPr>
        <w:t>各设区市文旅局（广电局）、</w:t>
      </w:r>
      <w:r>
        <w:rPr>
          <w:rFonts w:hint="eastAsia" w:ascii="仿宋_GB2312" w:hAnsi="宋体" w:eastAsia="仿宋_GB2312"/>
          <w:sz w:val="32"/>
          <w:szCs w:val="32"/>
        </w:rPr>
        <w:t>平潭综合实验区党工委宣传与影视发展部</w:t>
      </w:r>
      <w:r>
        <w:rPr>
          <w:rFonts w:hint="eastAsia" w:ascii="仿宋_GB2312" w:hAnsi="仿宋" w:eastAsia="仿宋_GB2312" w:cs="仿宋"/>
          <w:sz w:val="32"/>
          <w:szCs w:val="32"/>
        </w:rPr>
        <w:t>负责辖区内企业、机构申报节目的接收与初评，评选出推荐节目作品报送省局网络视听与媒体融合处。</w:t>
      </w:r>
    </w:p>
    <w:p>
      <w:pPr>
        <w:spacing w:line="560" w:lineRule="exact"/>
        <w:ind w:firstLine="645"/>
        <w:rPr>
          <w:rFonts w:ascii="仿宋_GB2312" w:hAnsi="仿宋" w:eastAsia="仿宋_GB2312" w:cs="仿宋"/>
          <w:sz w:val="32"/>
          <w:szCs w:val="32"/>
        </w:rPr>
      </w:pPr>
      <w:r>
        <w:rPr>
          <w:rFonts w:hint="eastAsia" w:ascii="仿宋_GB2312" w:hAnsi="仿宋" w:eastAsia="仿宋_GB2312" w:cs="仿宋"/>
          <w:sz w:val="32"/>
          <w:szCs w:val="32"/>
        </w:rPr>
        <w:t>省直属单位《信息网络传播视听节目许可证》持证机构可在内部初评后，直接将推荐节目作品报送省局网络视听与媒体融合处。</w:t>
      </w:r>
    </w:p>
    <w:p>
      <w:pPr>
        <w:spacing w:line="560" w:lineRule="exact"/>
        <w:ind w:firstLine="645"/>
        <w:rPr>
          <w:rFonts w:ascii="楷体_GB2312" w:hAnsi="仿宋" w:eastAsia="楷体_GB2312" w:cs="仿宋"/>
          <w:sz w:val="32"/>
          <w:szCs w:val="32"/>
        </w:rPr>
      </w:pPr>
      <w:r>
        <w:rPr>
          <w:rFonts w:hint="eastAsia" w:ascii="楷体_GB2312" w:hAnsi="仿宋" w:eastAsia="楷体_GB2312" w:cs="仿宋"/>
          <w:sz w:val="32"/>
          <w:szCs w:val="32"/>
        </w:rPr>
        <w:t>（二）节目评审</w:t>
      </w:r>
    </w:p>
    <w:p>
      <w:pPr>
        <w:spacing w:line="560" w:lineRule="exact"/>
        <w:ind w:firstLine="645"/>
        <w:rPr>
          <w:rFonts w:ascii="仿宋_GB2312" w:hAnsi="仿宋" w:eastAsia="仿宋_GB2312" w:cs="仿宋"/>
          <w:sz w:val="32"/>
          <w:szCs w:val="32"/>
        </w:rPr>
      </w:pPr>
      <w:r>
        <w:rPr>
          <w:rFonts w:hint="eastAsia" w:ascii="仿宋_GB2312" w:hAnsi="仿宋" w:eastAsia="仿宋_GB2312" w:cs="仿宋"/>
          <w:sz w:val="32"/>
          <w:szCs w:val="32"/>
        </w:rPr>
        <w:t>省局将组织专家对征集到的节目作品进行评议，经公示后推选出最终入选作品上报广电总局网络司。</w:t>
      </w:r>
    </w:p>
    <w:p>
      <w:pPr>
        <w:spacing w:line="560" w:lineRule="exact"/>
        <w:ind w:firstLine="645"/>
        <w:rPr>
          <w:rFonts w:ascii="仿宋_GB2312" w:hAnsi="仿宋" w:eastAsia="仿宋_GB2312" w:cs="仿宋"/>
          <w:sz w:val="32"/>
          <w:szCs w:val="32"/>
        </w:rPr>
      </w:pPr>
      <w:r>
        <w:rPr>
          <w:rFonts w:hint="eastAsia" w:ascii="仿宋_GB2312" w:hAnsi="仿宋" w:eastAsia="仿宋_GB2312" w:cs="仿宋"/>
          <w:sz w:val="32"/>
          <w:szCs w:val="32"/>
        </w:rPr>
        <w:t>评审标准：征集作品应紧紧围绕本年度“中国梦 新征程”主题，导向积极向上，弘扬社会主义核心价值观。作品应结构清晰、叙事流畅、情节合理，人物形象刻画饱满，故事讲述具有张力，能够使观众产生一定的共鸣。作品应具备精良的声画品质，具有一定的审美水准，拍摄、构图、选景有想法、有创意，后期剪辑手法流畅、成熟。</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鼓励体现网络元素、符合网络传播特性、契合网络媒介传播需求的原创作品，鼓励满足广大人民群众尤其是青少年群体精神文化需求的原创作品，鼓励具有突破性、探索性的原创优秀作品。</w:t>
      </w:r>
    </w:p>
    <w:p>
      <w:pPr>
        <w:spacing w:line="560" w:lineRule="exact"/>
        <w:ind w:firstLine="645"/>
        <w:rPr>
          <w:rFonts w:ascii="楷体_GB2312" w:hAnsi="仿宋" w:eastAsia="楷体_GB2312" w:cs="仿宋"/>
          <w:sz w:val="32"/>
          <w:szCs w:val="32"/>
        </w:rPr>
      </w:pPr>
      <w:r>
        <w:rPr>
          <w:rFonts w:hint="eastAsia" w:ascii="楷体_GB2312" w:hAnsi="仿宋" w:eastAsia="楷体_GB2312" w:cs="仿宋"/>
          <w:sz w:val="32"/>
          <w:szCs w:val="32"/>
        </w:rPr>
        <w:t>（三）节目展播</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广电总局及省局将组织全国网络视听平台、IPTV、OTT开设专区，集中开展为期3个月的入选节目公益展播活动。展播期内，广电总局将择优向省级卫视推荐入选作品播出。</w:t>
      </w:r>
    </w:p>
    <w:p>
      <w:pPr>
        <w:spacing w:line="560" w:lineRule="exact"/>
        <w:ind w:firstLine="640" w:firstLineChars="200"/>
        <w:rPr>
          <w:rFonts w:ascii="仿宋_GB2312" w:hAnsi="仿宋" w:eastAsia="仿宋_GB2312" w:cs="仿宋"/>
          <w:sz w:val="32"/>
          <w:szCs w:val="32"/>
        </w:rPr>
      </w:pPr>
      <w:r>
        <w:rPr>
          <w:rFonts w:ascii="仿宋_GB2312" w:hAnsi="仿宋" w:eastAsia="仿宋_GB2312" w:cs="仿宋"/>
          <w:sz w:val="32"/>
          <w:szCs w:val="32"/>
        </w:rPr>
        <w:t>特别说明：节目参评即视为授权参与全国性公益展播活动，申报机构或个人在申报前应对节目的播出权限进行确认。已授权网络独播或会员付费观看的节目参评，应提交播出平台同意授权公益展播的相关证明。</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四、工作要求</w:t>
      </w:r>
    </w:p>
    <w:p>
      <w:pPr>
        <w:spacing w:line="560" w:lineRule="exact"/>
        <w:ind w:firstLine="600"/>
        <w:rPr>
          <w:rFonts w:ascii="楷体_GB2312" w:hAnsi="仿宋" w:eastAsia="楷体_GB2312" w:cs="仿宋"/>
          <w:bCs/>
          <w:sz w:val="32"/>
          <w:szCs w:val="32"/>
        </w:rPr>
      </w:pPr>
      <w:r>
        <w:rPr>
          <w:rFonts w:hint="eastAsia" w:ascii="楷体_GB2312" w:hAnsi="仿宋" w:eastAsia="楷体_GB2312" w:cs="仿宋"/>
          <w:bCs/>
          <w:sz w:val="32"/>
          <w:szCs w:val="32"/>
        </w:rPr>
        <w:t>（一）节目报送</w:t>
      </w:r>
    </w:p>
    <w:p>
      <w:pPr>
        <w:spacing w:line="560" w:lineRule="exact"/>
        <w:ind w:firstLine="600"/>
        <w:rPr>
          <w:rFonts w:ascii="仿宋_GB2312" w:hAnsi="宋体" w:eastAsia="仿宋_GB2312" w:cs="仿宋_GB2312"/>
          <w:color w:val="181818"/>
          <w:sz w:val="32"/>
          <w:szCs w:val="32"/>
        </w:rPr>
      </w:pPr>
      <w:r>
        <w:rPr>
          <w:rFonts w:hint="eastAsia" w:ascii="仿宋_GB2312" w:hAnsi="仿宋" w:eastAsia="仿宋_GB2312" w:cs="仿宋"/>
          <w:sz w:val="32"/>
          <w:szCs w:val="32"/>
        </w:rPr>
        <w:t>根据广电总局要求，各市级广播电视行政部门要高度重视，精心组织，广泛动员，特别要注意在作品初评阶段严格审核把关，优中选优，推荐契合主题、高质量、高品位的作品。请各设区市局和省属参评单位务必于6月25前，汇总提交齐全规范的参评材料，包括2024年推荐作品汇总表（含作品有效观看链接，链接无效，视为放弃参评）、每件参评作品应含纸质版的作品推荐表、版权承诺书(按要求填报、盖章/签字，否则不予受理)各一式1份，快递或专人报送省局。</w:t>
      </w:r>
      <w:r>
        <w:rPr>
          <w:rFonts w:hint="eastAsia" w:ascii="仿宋_GB2312" w:hAnsi="宋体" w:eastAsia="仿宋_GB2312" w:cs="仿宋_GB2312"/>
          <w:color w:val="181818"/>
          <w:sz w:val="32"/>
          <w:szCs w:val="32"/>
        </w:rPr>
        <w:t>同时将参评材料电子版打包后发送联系人微信或邮箱912866884＠</w:t>
      </w:r>
      <w:r>
        <w:rPr>
          <w:rFonts w:ascii="仿宋_GB2312" w:hAnsi="宋体" w:eastAsia="仿宋_GB2312" w:cs="仿宋_GB2312"/>
          <w:color w:val="181818"/>
          <w:sz w:val="32"/>
          <w:szCs w:val="32"/>
        </w:rPr>
        <w:t>qq</w:t>
      </w:r>
      <w:r>
        <w:rPr>
          <w:rFonts w:hint="eastAsia" w:ascii="仿宋_GB2312" w:hAnsi="宋体" w:eastAsia="仿宋_GB2312" w:cs="仿宋_GB2312"/>
          <w:color w:val="181818"/>
          <w:sz w:val="32"/>
          <w:szCs w:val="32"/>
        </w:rPr>
        <w:t>.com，省属单位请直接报送省局。</w:t>
      </w:r>
    </w:p>
    <w:p>
      <w:pPr>
        <w:spacing w:line="560" w:lineRule="exact"/>
        <w:ind w:firstLine="600"/>
        <w:rPr>
          <w:rFonts w:ascii="仿宋_GB2312" w:hAnsi="宋体" w:eastAsia="仿宋_GB2312" w:cs="仿宋_GB2312"/>
          <w:color w:val="181818"/>
          <w:sz w:val="32"/>
          <w:szCs w:val="32"/>
        </w:rPr>
      </w:pPr>
      <w:r>
        <w:rPr>
          <w:rFonts w:hint="eastAsia" w:ascii="仿宋_GB2312" w:hAnsi="仿宋" w:eastAsia="仿宋_GB2312" w:cs="仿宋"/>
          <w:sz w:val="32"/>
          <w:szCs w:val="32"/>
        </w:rPr>
        <w:t>请设区市局和省属单位自行备份所有申报材料和信息，已报材料省局将统一存档，不再退还。</w:t>
      </w:r>
    </w:p>
    <w:p>
      <w:pPr>
        <w:spacing w:line="560" w:lineRule="exact"/>
        <w:ind w:firstLine="600"/>
        <w:rPr>
          <w:rFonts w:ascii="楷体_GB2312" w:hAnsi="仿宋" w:eastAsia="楷体_GB2312" w:cs="仿宋"/>
          <w:bCs/>
          <w:sz w:val="32"/>
          <w:szCs w:val="32"/>
        </w:rPr>
      </w:pPr>
      <w:r>
        <w:rPr>
          <w:rFonts w:hint="eastAsia" w:ascii="楷体_GB2312" w:hAnsi="仿宋" w:eastAsia="楷体_GB2312" w:cs="仿宋"/>
          <w:bCs/>
          <w:sz w:val="32"/>
          <w:szCs w:val="32"/>
        </w:rPr>
        <w:t>（二）推选数量</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每个设区市局经评审后向省局推荐节目作品数量原则上不超过15部，省属各有关单位原则上每家不超过</w:t>
      </w:r>
      <w:r>
        <w:rPr>
          <w:rFonts w:ascii="仿宋_GB2312" w:hAnsi="仿宋" w:eastAsia="仿宋_GB2312" w:cs="仿宋"/>
          <w:sz w:val="32"/>
          <w:szCs w:val="32"/>
        </w:rPr>
        <w:t>1</w:t>
      </w:r>
      <w:r>
        <w:rPr>
          <w:rFonts w:hint="eastAsia" w:ascii="仿宋_GB2312" w:hAnsi="仿宋" w:eastAsia="仿宋_GB2312" w:cs="仿宋"/>
          <w:sz w:val="32"/>
          <w:szCs w:val="32"/>
        </w:rPr>
        <w:t>5部。特殊情况请与省局网络视听与媒体融合处及时沟通。</w:t>
      </w:r>
    </w:p>
    <w:p>
      <w:pPr>
        <w:spacing w:line="560"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（三）网上提交</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根据相关规定，省局组织专家对征集到的节目作品进行评审，推选出25部左右优秀节目作品，经确定公示无异议后，由省局网络视听与媒体融合处通知节目作品入选机构或个人，登陆广电总局“中国梦 新征程”原创网络视听节目征集展播平台，根据平台有关说明，完整填写所需参评信息，</w:t>
      </w:r>
      <w:r>
        <w:rPr>
          <w:rFonts w:hint="eastAsia" w:ascii="仿宋_GB2312" w:hAnsi="仿宋" w:eastAsia="仿宋_GB2312" w:cs="仿宋"/>
          <w:color w:val="000000" w:themeColor="text1"/>
          <w:sz w:val="32"/>
          <w:szCs w:val="32"/>
        </w:rPr>
        <w:t>省局将根据广电总局要求和入选作品参评情况，于7月10日前，予以逐一审核并提交广电总局复评。</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特别提请注意的事项：未经节目作品所辖设区市局和省属相关单位评选推荐后报送，由机构或个人直接上报广电总局系统参评的节目作品恕不受理。</w:t>
      </w:r>
    </w:p>
    <w:p>
      <w:pPr>
        <w:spacing w:line="560" w:lineRule="exact"/>
        <w:ind w:firstLine="640" w:firstLineChars="200"/>
        <w:rPr>
          <w:rFonts w:ascii="楷体_GB2312" w:hAnsi="仿宋" w:eastAsia="楷体_GB2312" w:cs="仿宋"/>
          <w:bCs/>
          <w:sz w:val="32"/>
          <w:szCs w:val="32"/>
        </w:rPr>
      </w:pPr>
      <w:r>
        <w:rPr>
          <w:rFonts w:hint="eastAsia" w:ascii="楷体_GB2312" w:hAnsi="仿宋" w:eastAsia="楷体_GB2312" w:cs="仿宋"/>
          <w:bCs/>
          <w:sz w:val="32"/>
          <w:szCs w:val="32"/>
        </w:rPr>
        <w:t>（四）节目扶持</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省局将根据广电总局公布的本年度“中国梦 新征程”优秀网络视听节目作品名单，按照有关规定，予以资金扶持。各设区市局及相关单位要根据实际情况对优秀节目作品进行相应的配套资金扶持。</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特此通知。</w:t>
      </w:r>
    </w:p>
    <w:p>
      <w:pPr>
        <w:spacing w:line="560" w:lineRule="exact"/>
        <w:rPr>
          <w:rFonts w:ascii="仿宋_GB2312" w:hAnsi="仿宋" w:eastAsia="仿宋_GB2312" w:cs="仿宋"/>
          <w:sz w:val="32"/>
          <w:szCs w:val="32"/>
        </w:rPr>
      </w:pPr>
    </w:p>
    <w:p>
      <w:pPr>
        <w:adjustRightInd w:val="0"/>
        <w:snapToGrid w:val="0"/>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附件：1.2024年推荐作品汇总表</w:t>
      </w:r>
    </w:p>
    <w:p>
      <w:pPr>
        <w:spacing w:line="560" w:lineRule="exact"/>
        <w:ind w:firstLine="1600" w:firstLineChars="500"/>
        <w:rPr>
          <w:rFonts w:ascii="仿宋_GB2312" w:hAnsi="仿宋" w:eastAsia="仿宋_GB2312" w:cs="仿宋"/>
          <w:sz w:val="32"/>
          <w:szCs w:val="32"/>
        </w:rPr>
      </w:pPr>
      <w:r>
        <w:rPr>
          <w:rFonts w:hint="eastAsia" w:ascii="仿宋_GB2312" w:hAnsi="仿宋" w:eastAsia="仿宋_GB2312" w:cs="仿宋"/>
          <w:sz w:val="32"/>
          <w:szCs w:val="32"/>
        </w:rPr>
        <w:t>2.作品推荐表及填报说明</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3.版权承诺书</w:t>
      </w:r>
    </w:p>
    <w:p>
      <w:pPr>
        <w:spacing w:line="560" w:lineRule="exact"/>
        <w:ind w:firstLine="640" w:firstLineChars="200"/>
        <w:rPr>
          <w:rFonts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rPr>
      </w:pPr>
    </w:p>
    <w:p>
      <w:pPr>
        <w:spacing w:line="560" w:lineRule="exact"/>
        <w:ind w:firstLine="640" w:firstLineChars="200"/>
        <w:rPr>
          <w:rFonts w:ascii="仿宋_GB2312" w:hAnsi="仿宋" w:eastAsia="仿宋_GB2312" w:cs="仿宋"/>
          <w:sz w:val="32"/>
          <w:szCs w:val="32"/>
        </w:rPr>
      </w:pPr>
    </w:p>
    <w:p>
      <w:pPr>
        <w:spacing w:line="560" w:lineRule="exact"/>
        <w:ind w:right="640"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                            福建省广播电视局</w:t>
      </w:r>
    </w:p>
    <w:p>
      <w:pPr>
        <w:pStyle w:val="11"/>
        <w:spacing w:line="560" w:lineRule="exact"/>
        <w:ind w:firstLine="420"/>
        <w:rPr>
          <w:rFonts w:ascii="仿宋_GB2312" w:hAnsi="仿宋" w:eastAsia="仿宋_GB2312" w:cs="仿宋"/>
          <w:sz w:val="32"/>
          <w:szCs w:val="32"/>
        </w:rPr>
      </w:pPr>
      <w:r>
        <w:rPr>
          <w:rFonts w:hint="eastAsia" w:ascii="仿宋_GB2312" w:hAnsi="仿宋" w:eastAsia="仿宋_GB2312" w:cs="仿宋"/>
          <w:sz w:val="32"/>
          <w:szCs w:val="32"/>
        </w:rPr>
        <w:t xml:space="preserve">                              2024年5月6日</w:t>
      </w:r>
    </w:p>
    <w:p>
      <w:pPr>
        <w:spacing w:line="56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（联系人：网络视听与媒体融合处杨榕、黄杰，联系电话：0591—88116577，联系地址：福州市西环南路128号东门省广电局收发室收转，邮编：350004）</w:t>
      </w:r>
    </w:p>
    <w:p>
      <w:pPr>
        <w:spacing w:line="560" w:lineRule="exact"/>
        <w:ind w:firstLine="640" w:firstLineChars="200"/>
        <w:jc w:val="left"/>
        <w:rPr>
          <w:rFonts w:ascii="仿宋" w:hAnsi="仿宋" w:eastAsia="仿宋" w:cs="仿宋"/>
          <w:sz w:val="32"/>
          <w:szCs w:val="32"/>
        </w:rPr>
        <w:sectPr>
          <w:footerReference r:id="rId3" w:type="default"/>
          <w:footerReference r:id="rId4" w:type="even"/>
          <w:pgSz w:w="11906" w:h="16838"/>
          <w:pgMar w:top="2098" w:right="1474" w:bottom="1985" w:left="1588" w:header="851" w:footer="1588" w:gutter="0"/>
          <w:cols w:space="720" w:num="1"/>
          <w:docGrid w:type="lines" w:linePitch="312" w:charSpace="0"/>
        </w:sectPr>
      </w:pPr>
      <w:r>
        <w:rPr>
          <w:rFonts w:hint="eastAsia" w:ascii="仿宋_GB2312" w:hAnsi="仿宋" w:eastAsia="仿宋_GB2312" w:cs="仿宋"/>
          <w:sz w:val="32"/>
          <w:szCs w:val="32"/>
        </w:rPr>
        <w:t>（此件主动公开）</w:t>
      </w:r>
    </w:p>
    <w:p>
      <w:pPr>
        <w:spacing w:line="560" w:lineRule="exact"/>
        <w:rPr>
          <w:rFonts w:ascii="黑体" w:hAnsi="黑体" w:eastAsia="黑体"/>
        </w:rPr>
      </w:pPr>
      <w:r>
        <w:rPr>
          <w:rFonts w:hint="eastAsia" w:ascii="黑体" w:hAnsi="黑体" w:eastAsia="黑体" w:cs="楷体_GB2312"/>
          <w:sz w:val="32"/>
          <w:szCs w:val="32"/>
        </w:rPr>
        <w:t xml:space="preserve">附件1 </w:t>
      </w:r>
    </w:p>
    <w:p>
      <w:pPr>
        <w:adjustRightInd w:val="0"/>
        <w:snapToGrid w:val="0"/>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2024年推荐作品汇总表</w:t>
      </w:r>
    </w:p>
    <w:p>
      <w:pPr>
        <w:spacing w:line="560" w:lineRule="exact"/>
        <w:jc w:val="center"/>
        <w:rPr>
          <w:rFonts w:ascii="楷体_GB2312" w:eastAsia="楷体_GB2312"/>
          <w:sz w:val="32"/>
          <w:szCs w:val="32"/>
        </w:rPr>
      </w:pPr>
      <w:r>
        <w:rPr>
          <w:rFonts w:hint="eastAsia" w:ascii="楷体_GB2312" w:eastAsia="楷体_GB2312"/>
          <w:sz w:val="32"/>
          <w:szCs w:val="32"/>
        </w:rPr>
        <w:t>（市级广电部门填写）</w:t>
      </w:r>
    </w:p>
    <w:p>
      <w:pPr>
        <w:spacing w:line="560" w:lineRule="exact"/>
        <w:rPr>
          <w:rFonts w:ascii="楷体_GB2312" w:hAnsi="楷体_GB2312" w:eastAsia="楷体_GB2312" w:cs="楷体_GB2312"/>
          <w:bCs/>
          <w:sz w:val="28"/>
          <w:szCs w:val="28"/>
        </w:rPr>
      </w:pPr>
      <w:r>
        <w:rPr>
          <w:rFonts w:hint="eastAsia" w:ascii="楷体_GB2312" w:hAnsi="楷体_GB2312" w:eastAsia="楷体_GB2312" w:cs="楷体_GB2312"/>
          <w:bCs/>
          <w:sz w:val="28"/>
          <w:szCs w:val="28"/>
        </w:rPr>
        <w:t>市级主管部门（盖章）：</w:t>
      </w:r>
    </w:p>
    <w:tbl>
      <w:tblPr>
        <w:tblStyle w:val="6"/>
        <w:tblpPr w:leftFromText="180" w:rightFromText="180" w:vertAnchor="text" w:horzAnchor="page" w:tblpXSpec="center" w:tblpY="430"/>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50"/>
        <w:gridCol w:w="816"/>
        <w:gridCol w:w="934"/>
        <w:gridCol w:w="916"/>
        <w:gridCol w:w="1417"/>
        <w:gridCol w:w="1082"/>
        <w:gridCol w:w="1201"/>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500" w:lineRule="exact"/>
              <w:jc w:val="center"/>
              <w:rPr>
                <w:rFonts w:ascii="楷体_GB2312" w:hAnsi="楷体_GB2312" w:eastAsia="楷体_GB2312" w:cs="楷体_GB2312"/>
                <w:sz w:val="24"/>
                <w:szCs w:val="24"/>
              </w:rPr>
            </w:pPr>
            <w:r>
              <w:rPr>
                <w:rFonts w:hint="eastAsia" w:ascii="楷体_GB2312" w:hAnsi="楷体_GB2312" w:eastAsia="楷体_GB2312" w:cs="楷体_GB2312"/>
                <w:b/>
                <w:bCs/>
                <w:sz w:val="24"/>
                <w:szCs w:val="24"/>
              </w:rPr>
              <w:t>序号</w:t>
            </w:r>
          </w:p>
        </w:tc>
        <w:tc>
          <w:tcPr>
            <w:tcW w:w="1050" w:type="dxa"/>
            <w:vAlign w:val="center"/>
          </w:tcPr>
          <w:p>
            <w:pPr>
              <w:widowControl/>
              <w:spacing w:line="500" w:lineRule="exact"/>
              <w:jc w:val="center"/>
              <w:rPr>
                <w:rFonts w:ascii="楷体_GB2312" w:hAnsi="楷体_GB2312" w:eastAsia="楷体_GB2312" w:cs="楷体_GB2312"/>
                <w:b/>
                <w:kern w:val="0"/>
                <w:sz w:val="24"/>
                <w:szCs w:val="24"/>
              </w:rPr>
            </w:pPr>
            <w:r>
              <w:rPr>
                <w:rFonts w:hint="eastAsia" w:ascii="楷体_GB2312" w:hAnsi="楷体_GB2312" w:eastAsia="楷体_GB2312" w:cs="楷体_GB2312"/>
                <w:b/>
                <w:kern w:val="0"/>
                <w:sz w:val="24"/>
                <w:szCs w:val="24"/>
              </w:rPr>
              <w:t>版权</w:t>
            </w:r>
          </w:p>
          <w:p>
            <w:pPr>
              <w:widowControl/>
              <w:spacing w:line="500" w:lineRule="exact"/>
              <w:jc w:val="center"/>
              <w:rPr>
                <w:rFonts w:ascii="楷体_GB2312" w:hAnsi="楷体_GB2312" w:eastAsia="楷体_GB2312" w:cs="楷体_GB2312"/>
                <w:sz w:val="24"/>
                <w:szCs w:val="24"/>
              </w:rPr>
            </w:pPr>
            <w:r>
              <w:rPr>
                <w:rFonts w:hint="eastAsia" w:ascii="楷体_GB2312" w:hAnsi="楷体_GB2312" w:eastAsia="楷体_GB2312" w:cs="楷体_GB2312"/>
                <w:b/>
                <w:kern w:val="0"/>
                <w:sz w:val="24"/>
                <w:szCs w:val="24"/>
              </w:rPr>
              <w:t>所属者</w:t>
            </w:r>
          </w:p>
        </w:tc>
        <w:tc>
          <w:tcPr>
            <w:tcW w:w="816" w:type="dxa"/>
            <w:vAlign w:val="center"/>
          </w:tcPr>
          <w:p>
            <w:pPr>
              <w:widowControl/>
              <w:spacing w:line="500" w:lineRule="exact"/>
              <w:jc w:val="center"/>
              <w:rPr>
                <w:rFonts w:ascii="楷体_GB2312" w:hAnsi="楷体_GB2312" w:eastAsia="楷体_GB2312" w:cs="楷体_GB2312"/>
                <w:sz w:val="24"/>
                <w:szCs w:val="24"/>
              </w:rPr>
            </w:pPr>
            <w:r>
              <w:rPr>
                <w:rFonts w:hint="eastAsia" w:ascii="楷体_GB2312" w:hAnsi="楷体_GB2312" w:eastAsia="楷体_GB2312" w:cs="楷体_GB2312"/>
                <w:b/>
                <w:kern w:val="0"/>
                <w:sz w:val="24"/>
                <w:szCs w:val="24"/>
              </w:rPr>
              <w:t>作品名称</w:t>
            </w:r>
          </w:p>
        </w:tc>
        <w:tc>
          <w:tcPr>
            <w:tcW w:w="934" w:type="dxa"/>
            <w:vAlign w:val="center"/>
          </w:tcPr>
          <w:p>
            <w:pPr>
              <w:widowControl/>
              <w:spacing w:line="500" w:lineRule="exact"/>
              <w:jc w:val="center"/>
              <w:rPr>
                <w:rFonts w:ascii="楷体_GB2312" w:hAnsi="楷体_GB2312" w:eastAsia="楷体_GB2312" w:cs="楷体_GB2312"/>
                <w:sz w:val="24"/>
                <w:szCs w:val="24"/>
              </w:rPr>
            </w:pPr>
            <w:r>
              <w:rPr>
                <w:rFonts w:hint="eastAsia" w:ascii="楷体_GB2312" w:hAnsi="楷体_GB2312" w:eastAsia="楷体_GB2312" w:cs="楷体_GB2312"/>
                <w:b/>
                <w:kern w:val="0"/>
                <w:sz w:val="24"/>
                <w:szCs w:val="24"/>
              </w:rPr>
              <w:t>类型</w:t>
            </w:r>
          </w:p>
        </w:tc>
        <w:tc>
          <w:tcPr>
            <w:tcW w:w="916" w:type="dxa"/>
            <w:vAlign w:val="center"/>
          </w:tcPr>
          <w:p>
            <w:pPr>
              <w:widowControl/>
              <w:spacing w:line="500" w:lineRule="exact"/>
              <w:jc w:val="center"/>
              <w:rPr>
                <w:rFonts w:ascii="楷体_GB2312" w:hAnsi="楷体_GB2312" w:eastAsia="楷体_GB2312" w:cs="楷体_GB2312"/>
                <w:sz w:val="24"/>
                <w:szCs w:val="24"/>
              </w:rPr>
            </w:pPr>
            <w:r>
              <w:rPr>
                <w:rFonts w:hint="eastAsia" w:ascii="楷体_GB2312" w:hAnsi="楷体_GB2312" w:eastAsia="楷体_GB2312" w:cs="楷体_GB2312"/>
                <w:b/>
                <w:kern w:val="0"/>
                <w:sz w:val="24"/>
                <w:szCs w:val="24"/>
              </w:rPr>
              <w:t>集数</w:t>
            </w:r>
          </w:p>
        </w:tc>
        <w:tc>
          <w:tcPr>
            <w:tcW w:w="1417" w:type="dxa"/>
            <w:vAlign w:val="center"/>
          </w:tcPr>
          <w:p>
            <w:pPr>
              <w:widowControl/>
              <w:spacing w:line="500" w:lineRule="exact"/>
              <w:jc w:val="center"/>
              <w:rPr>
                <w:rFonts w:ascii="楷体_GB2312" w:hAnsi="楷体_GB2312" w:eastAsia="楷体_GB2312" w:cs="楷体_GB2312"/>
                <w:b/>
                <w:kern w:val="0"/>
                <w:sz w:val="24"/>
                <w:szCs w:val="24"/>
              </w:rPr>
            </w:pPr>
            <w:r>
              <w:rPr>
                <w:rFonts w:hint="eastAsia" w:ascii="楷体_GB2312" w:hAnsi="楷体_GB2312" w:eastAsia="楷体_GB2312" w:cs="楷体_GB2312"/>
                <w:b/>
                <w:kern w:val="0"/>
                <w:sz w:val="24"/>
                <w:szCs w:val="24"/>
              </w:rPr>
              <w:t>每集时长</w:t>
            </w:r>
          </w:p>
          <w:p>
            <w:pPr>
              <w:widowControl/>
              <w:spacing w:line="500" w:lineRule="exact"/>
              <w:jc w:val="center"/>
              <w:rPr>
                <w:rFonts w:ascii="楷体_GB2312" w:hAnsi="楷体_GB2312" w:eastAsia="楷体_GB2312" w:cs="楷体_GB2312"/>
                <w:sz w:val="24"/>
                <w:szCs w:val="24"/>
              </w:rPr>
            </w:pPr>
            <w:r>
              <w:rPr>
                <w:rFonts w:hint="eastAsia" w:ascii="楷体_GB2312" w:hAnsi="楷体_GB2312" w:eastAsia="楷体_GB2312" w:cs="楷体_GB2312"/>
                <w:b/>
                <w:kern w:val="0"/>
                <w:sz w:val="24"/>
                <w:szCs w:val="24"/>
              </w:rPr>
              <w:t>（分钟）</w:t>
            </w:r>
          </w:p>
        </w:tc>
        <w:tc>
          <w:tcPr>
            <w:tcW w:w="1082" w:type="dxa"/>
            <w:vAlign w:val="center"/>
          </w:tcPr>
          <w:p>
            <w:pPr>
              <w:widowControl/>
              <w:spacing w:line="500" w:lineRule="exact"/>
              <w:jc w:val="center"/>
              <w:rPr>
                <w:rFonts w:ascii="楷体_GB2312" w:hAnsi="楷体_GB2312" w:eastAsia="楷体_GB2312" w:cs="楷体_GB2312"/>
                <w:b/>
                <w:kern w:val="0"/>
                <w:sz w:val="24"/>
                <w:szCs w:val="24"/>
              </w:rPr>
            </w:pPr>
            <w:r>
              <w:rPr>
                <w:rFonts w:hint="eastAsia" w:ascii="楷体_GB2312" w:hAnsi="楷体_GB2312" w:eastAsia="楷体_GB2312" w:cs="楷体_GB2312"/>
                <w:b/>
                <w:kern w:val="0"/>
                <w:sz w:val="24"/>
                <w:szCs w:val="24"/>
              </w:rPr>
              <w:t>总时长</w:t>
            </w:r>
          </w:p>
          <w:p>
            <w:pPr>
              <w:widowControl/>
              <w:spacing w:line="500" w:lineRule="exact"/>
              <w:jc w:val="center"/>
              <w:rPr>
                <w:rFonts w:ascii="楷体_GB2312" w:hAnsi="楷体_GB2312" w:eastAsia="楷体_GB2312" w:cs="楷体_GB2312"/>
                <w:sz w:val="24"/>
                <w:szCs w:val="24"/>
              </w:rPr>
            </w:pPr>
            <w:r>
              <w:rPr>
                <w:rFonts w:hint="eastAsia" w:ascii="楷体_GB2312" w:hAnsi="楷体_GB2312" w:eastAsia="楷体_GB2312" w:cs="楷体_GB2312"/>
                <w:b/>
                <w:kern w:val="0"/>
                <w:sz w:val="24"/>
                <w:szCs w:val="24"/>
              </w:rPr>
              <w:t>（分钟）</w:t>
            </w:r>
          </w:p>
        </w:tc>
        <w:tc>
          <w:tcPr>
            <w:tcW w:w="1201" w:type="dxa"/>
            <w:vAlign w:val="center"/>
          </w:tcPr>
          <w:p>
            <w:pPr>
              <w:widowControl/>
              <w:spacing w:line="500" w:lineRule="exact"/>
              <w:jc w:val="center"/>
              <w:rPr>
                <w:rFonts w:ascii="楷体_GB2312" w:hAnsi="楷体_GB2312" w:eastAsia="楷体_GB2312" w:cs="楷体_GB2312"/>
                <w:sz w:val="24"/>
                <w:szCs w:val="24"/>
              </w:rPr>
            </w:pPr>
            <w:r>
              <w:rPr>
                <w:rFonts w:hint="eastAsia" w:ascii="楷体_GB2312" w:hAnsi="楷体_GB2312" w:eastAsia="楷体_GB2312" w:cs="楷体_GB2312"/>
                <w:b/>
                <w:kern w:val="0"/>
                <w:sz w:val="24"/>
                <w:szCs w:val="24"/>
              </w:rPr>
              <w:t>作品简介（100字左右）</w:t>
            </w:r>
          </w:p>
        </w:tc>
        <w:tc>
          <w:tcPr>
            <w:tcW w:w="1258" w:type="dxa"/>
            <w:vAlign w:val="center"/>
          </w:tcPr>
          <w:p>
            <w:pPr>
              <w:widowControl/>
              <w:spacing w:line="500" w:lineRule="exact"/>
              <w:jc w:val="center"/>
              <w:rPr>
                <w:rFonts w:ascii="楷体_GB2312" w:hAnsi="楷体_GB2312" w:eastAsia="楷体_GB2312" w:cs="楷体_GB2312"/>
                <w:sz w:val="24"/>
                <w:szCs w:val="24"/>
              </w:rPr>
            </w:pPr>
            <w:r>
              <w:rPr>
                <w:rFonts w:hint="eastAsia" w:ascii="楷体_GB2312" w:hAnsi="楷体_GB2312" w:eastAsia="楷体_GB2312" w:cs="楷体_GB2312"/>
                <w:b/>
                <w:kern w:val="0"/>
                <w:sz w:val="24"/>
                <w:szCs w:val="24"/>
              </w:rPr>
              <w:t>有效网址（链接）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pPr>
              <w:spacing w:line="500" w:lineRule="exact"/>
              <w:rPr>
                <w:rFonts w:ascii="仿宋_GB2312"/>
              </w:rPr>
            </w:pPr>
          </w:p>
        </w:tc>
        <w:tc>
          <w:tcPr>
            <w:tcW w:w="1050" w:type="dxa"/>
          </w:tcPr>
          <w:p>
            <w:pPr>
              <w:spacing w:line="500" w:lineRule="exact"/>
              <w:rPr>
                <w:rFonts w:ascii="仿宋_GB2312"/>
              </w:rPr>
            </w:pPr>
          </w:p>
        </w:tc>
        <w:tc>
          <w:tcPr>
            <w:tcW w:w="816" w:type="dxa"/>
          </w:tcPr>
          <w:p>
            <w:pPr>
              <w:spacing w:line="500" w:lineRule="exact"/>
              <w:rPr>
                <w:rFonts w:ascii="仿宋_GB2312"/>
              </w:rPr>
            </w:pPr>
          </w:p>
        </w:tc>
        <w:tc>
          <w:tcPr>
            <w:tcW w:w="934" w:type="dxa"/>
          </w:tcPr>
          <w:p>
            <w:pPr>
              <w:spacing w:line="500" w:lineRule="exact"/>
              <w:rPr>
                <w:rFonts w:ascii="仿宋_GB2312"/>
              </w:rPr>
            </w:pPr>
          </w:p>
        </w:tc>
        <w:tc>
          <w:tcPr>
            <w:tcW w:w="916" w:type="dxa"/>
          </w:tcPr>
          <w:p>
            <w:pPr>
              <w:spacing w:line="500" w:lineRule="exact"/>
              <w:rPr>
                <w:rFonts w:ascii="仿宋_GB2312"/>
              </w:rPr>
            </w:pPr>
          </w:p>
        </w:tc>
        <w:tc>
          <w:tcPr>
            <w:tcW w:w="1417" w:type="dxa"/>
          </w:tcPr>
          <w:p>
            <w:pPr>
              <w:spacing w:line="500" w:lineRule="exact"/>
              <w:rPr>
                <w:rFonts w:ascii="仿宋_GB2312"/>
              </w:rPr>
            </w:pPr>
          </w:p>
        </w:tc>
        <w:tc>
          <w:tcPr>
            <w:tcW w:w="1082" w:type="dxa"/>
          </w:tcPr>
          <w:p>
            <w:pPr>
              <w:spacing w:line="500" w:lineRule="exact"/>
              <w:rPr>
                <w:rFonts w:ascii="仿宋_GB2312"/>
              </w:rPr>
            </w:pPr>
          </w:p>
        </w:tc>
        <w:tc>
          <w:tcPr>
            <w:tcW w:w="1201" w:type="dxa"/>
          </w:tcPr>
          <w:p>
            <w:pPr>
              <w:spacing w:line="500" w:lineRule="exact"/>
              <w:rPr>
                <w:rFonts w:ascii="仿宋_GB2312"/>
              </w:rPr>
            </w:pPr>
          </w:p>
        </w:tc>
        <w:tc>
          <w:tcPr>
            <w:tcW w:w="1258" w:type="dxa"/>
          </w:tcPr>
          <w:p>
            <w:pPr>
              <w:spacing w:line="500" w:lineRule="exact"/>
              <w:rPr>
                <w:rFonts w:ascii="仿宋_GB2312"/>
              </w:rPr>
            </w:pPr>
          </w:p>
        </w:tc>
      </w:tr>
    </w:tbl>
    <w:p>
      <w:pPr>
        <w:spacing w:line="560" w:lineRule="exact"/>
        <w:ind w:firstLine="420"/>
        <w:rPr>
          <w:rFonts w:ascii="仿宋_GB2312" w:eastAsia="仿宋_GB2312"/>
          <w:sz w:val="28"/>
          <w:szCs w:val="28"/>
        </w:rPr>
      </w:pPr>
      <w:r>
        <w:rPr>
          <w:rFonts w:hint="eastAsia" w:ascii="仿宋_GB2312" w:eastAsia="仿宋_GB2312"/>
          <w:sz w:val="28"/>
          <w:szCs w:val="28"/>
        </w:rPr>
        <w:t>联系人：　　　                        联系电话：</w:t>
      </w:r>
    </w:p>
    <w:p>
      <w:pPr>
        <w:pStyle w:val="11"/>
        <w:spacing w:line="560" w:lineRule="exact"/>
        <w:rPr>
          <w:rFonts w:ascii="黑体" w:hAnsi="黑体" w:eastAsia="黑体" w:cs="楷体_GB2312"/>
          <w:sz w:val="32"/>
          <w:szCs w:val="32"/>
        </w:rPr>
      </w:pPr>
      <w:r>
        <w:rPr>
          <w:rFonts w:hint="eastAsia" w:ascii="黑体" w:hAnsi="黑体" w:eastAsia="黑体" w:cs="楷体_GB2312"/>
          <w:sz w:val="32"/>
          <w:szCs w:val="32"/>
        </w:rPr>
        <w:t>附件2</w:t>
      </w:r>
    </w:p>
    <w:p>
      <w:pPr>
        <w:pStyle w:val="11"/>
        <w:spacing w:line="560" w:lineRule="exact"/>
        <w:jc w:val="center"/>
        <w:rPr>
          <w:rFonts w:ascii="方正小标宋简体" w:hAnsi="黑体" w:eastAsia="方正小标宋简体" w:cs="黑体"/>
          <w:bCs/>
          <w:sz w:val="44"/>
          <w:szCs w:val="44"/>
        </w:rPr>
      </w:pPr>
      <w:r>
        <w:rPr>
          <w:rFonts w:hint="eastAsia" w:ascii="方正小标宋简体" w:hAnsi="黑体" w:eastAsia="方正小标宋简体" w:cs="黑体"/>
          <w:sz w:val="44"/>
          <w:szCs w:val="44"/>
        </w:rPr>
        <w:t>作 品 推 荐 表</w:t>
      </w:r>
    </w:p>
    <w:p>
      <w:pPr>
        <w:pStyle w:val="11"/>
        <w:spacing w:line="300" w:lineRule="exact"/>
        <w:jc w:val="center"/>
        <w:rPr>
          <w:rFonts w:ascii="楷体_GB2312" w:hAnsi="楷体" w:eastAsia="楷体_GB2312" w:cs="楷体"/>
          <w:bCs/>
          <w:sz w:val="24"/>
          <w:szCs w:val="24"/>
        </w:rPr>
      </w:pPr>
    </w:p>
    <w:p>
      <w:pPr>
        <w:pStyle w:val="11"/>
        <w:spacing w:line="560" w:lineRule="exact"/>
        <w:rPr>
          <w:rFonts w:ascii="楷体_GB2312" w:hAnsi="楷体" w:eastAsia="楷体_GB2312" w:cs="楷体"/>
          <w:bCs/>
          <w:sz w:val="28"/>
          <w:szCs w:val="28"/>
        </w:rPr>
      </w:pPr>
      <w:r>
        <w:rPr>
          <w:rFonts w:hint="eastAsia" w:ascii="楷体_GB2312" w:hAnsi="楷体" w:eastAsia="楷体_GB2312" w:cs="楷体"/>
          <w:bCs/>
          <w:sz w:val="28"/>
          <w:szCs w:val="28"/>
        </w:rPr>
        <w:t>推荐单位（盖章）：                               序号：</w:t>
      </w:r>
    </w:p>
    <w:tbl>
      <w:tblPr>
        <w:tblStyle w:val="6"/>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9"/>
        <w:gridCol w:w="1724"/>
        <w:gridCol w:w="1570"/>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769" w:type="dxa"/>
            <w:vAlign w:val="center"/>
          </w:tcPr>
          <w:p>
            <w:pPr>
              <w:pStyle w:val="11"/>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节目名称</w:t>
            </w:r>
          </w:p>
        </w:tc>
        <w:tc>
          <w:tcPr>
            <w:tcW w:w="5492" w:type="dxa"/>
            <w:gridSpan w:val="3"/>
          </w:tcPr>
          <w:p>
            <w:pPr>
              <w:pStyle w:val="11"/>
              <w:spacing w:line="52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769" w:type="dxa"/>
            <w:vAlign w:val="center"/>
          </w:tcPr>
          <w:p>
            <w:pPr>
              <w:pStyle w:val="11"/>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制作机构</w:t>
            </w:r>
          </w:p>
        </w:tc>
        <w:tc>
          <w:tcPr>
            <w:tcW w:w="5492" w:type="dxa"/>
            <w:gridSpan w:val="3"/>
          </w:tcPr>
          <w:p>
            <w:pPr>
              <w:pStyle w:val="11"/>
              <w:spacing w:line="52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769" w:type="dxa"/>
            <w:vAlign w:val="center"/>
          </w:tcPr>
          <w:p>
            <w:pPr>
              <w:pStyle w:val="11"/>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类　　别</w:t>
            </w:r>
          </w:p>
        </w:tc>
        <w:tc>
          <w:tcPr>
            <w:tcW w:w="5492" w:type="dxa"/>
            <w:gridSpan w:val="3"/>
            <w:vAlign w:val="center"/>
          </w:tcPr>
          <w:p>
            <w:pPr>
              <w:pStyle w:val="11"/>
              <w:spacing w:line="520" w:lineRule="exact"/>
              <w:rPr>
                <w:rFonts w:ascii="仿宋_GB2312" w:hAnsi="宋体" w:eastAsia="仿宋_GB2312" w:cs="楷体_GB2312"/>
                <w:color w:val="000000"/>
                <w:kern w:val="0"/>
                <w:sz w:val="24"/>
                <w:szCs w:val="24"/>
              </w:rPr>
            </w:pPr>
            <w:r>
              <w:rPr>
                <w:rFonts w:hint="eastAsia" w:ascii="仿宋_GB2312" w:hAnsi="宋体" w:eastAsia="仿宋_GB2312" w:cs="楷体_GB2312"/>
                <w:color w:val="000000"/>
                <w:kern w:val="0"/>
                <w:sz w:val="24"/>
                <w:szCs w:val="24"/>
              </w:rPr>
              <w:t>□网络纪录片□网络综艺节目□网络动画片</w:t>
            </w:r>
          </w:p>
          <w:p>
            <w:pPr>
              <w:pStyle w:val="11"/>
              <w:spacing w:line="520" w:lineRule="exact"/>
              <w:rPr>
                <w:rFonts w:ascii="仿宋_GB2312" w:hAnsi="楷体" w:eastAsia="仿宋_GB2312" w:cs="楷体"/>
                <w:bCs/>
                <w:sz w:val="24"/>
                <w:szCs w:val="24"/>
              </w:rPr>
            </w:pPr>
            <w:r>
              <w:rPr>
                <w:rFonts w:hint="eastAsia" w:ascii="仿宋_GB2312" w:hAnsi="宋体" w:eastAsia="仿宋_GB2312" w:cs="楷体_GB2312"/>
                <w:color w:val="000000"/>
                <w:kern w:val="0"/>
                <w:sz w:val="24"/>
                <w:szCs w:val="24"/>
              </w:rPr>
              <w:t>□网络剧□网络微短剧□网络电影□网络微电影□网络音频节目□短视频□网络公益短片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769" w:type="dxa"/>
            <w:vAlign w:val="center"/>
          </w:tcPr>
          <w:p>
            <w:pPr>
              <w:pStyle w:val="11"/>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作品长度（集数、时长）</w:t>
            </w:r>
          </w:p>
        </w:tc>
        <w:tc>
          <w:tcPr>
            <w:tcW w:w="1724" w:type="dxa"/>
            <w:vAlign w:val="center"/>
          </w:tcPr>
          <w:p>
            <w:pPr>
              <w:pStyle w:val="11"/>
              <w:spacing w:line="520" w:lineRule="exact"/>
              <w:rPr>
                <w:rFonts w:ascii="仿宋_GB2312" w:hAnsi="楷体" w:eastAsia="仿宋_GB2312" w:cs="楷体"/>
                <w:bCs/>
                <w:sz w:val="24"/>
                <w:szCs w:val="24"/>
              </w:rPr>
            </w:pPr>
          </w:p>
        </w:tc>
        <w:tc>
          <w:tcPr>
            <w:tcW w:w="1570" w:type="dxa"/>
            <w:vAlign w:val="center"/>
          </w:tcPr>
          <w:p>
            <w:pPr>
              <w:pStyle w:val="11"/>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首播时间</w:t>
            </w:r>
          </w:p>
        </w:tc>
        <w:tc>
          <w:tcPr>
            <w:tcW w:w="2198" w:type="dxa"/>
            <w:vAlign w:val="center"/>
          </w:tcPr>
          <w:p>
            <w:pPr>
              <w:pStyle w:val="11"/>
              <w:spacing w:line="520" w:lineRule="exact"/>
              <w:rPr>
                <w:rFonts w:ascii="仿宋_GB2312" w:hAnsi="楷体" w:eastAsia="仿宋_GB2312" w:cs="楷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3769" w:type="dxa"/>
            <w:vAlign w:val="center"/>
          </w:tcPr>
          <w:p>
            <w:pPr>
              <w:pStyle w:val="11"/>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播放网站（链接）</w:t>
            </w:r>
          </w:p>
        </w:tc>
        <w:tc>
          <w:tcPr>
            <w:tcW w:w="5492" w:type="dxa"/>
            <w:gridSpan w:val="3"/>
          </w:tcPr>
          <w:p>
            <w:pPr>
              <w:pStyle w:val="11"/>
              <w:spacing w:line="52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3769" w:type="dxa"/>
            <w:vAlign w:val="center"/>
          </w:tcPr>
          <w:p>
            <w:pPr>
              <w:pStyle w:val="11"/>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作品权利人(盖章)</w:t>
            </w:r>
          </w:p>
          <w:p>
            <w:pPr>
              <w:pStyle w:val="11"/>
              <w:spacing w:line="520" w:lineRule="exact"/>
              <w:jc w:val="center"/>
              <w:rPr>
                <w:rFonts w:ascii="仿宋_GB2312" w:hAnsi="楷体" w:eastAsia="仿宋_GB2312" w:cs="楷体"/>
                <w:bCs/>
                <w:sz w:val="24"/>
                <w:szCs w:val="24"/>
              </w:rPr>
            </w:pPr>
            <w:r>
              <w:rPr>
                <w:rFonts w:hint="eastAsia" w:ascii="仿宋_GB2312" w:hAnsi="楷体" w:eastAsia="仿宋_GB2312" w:cs="楷体"/>
                <w:b/>
                <w:sz w:val="24"/>
                <w:szCs w:val="24"/>
              </w:rPr>
              <w:t>（需与版权承诺书一致）</w:t>
            </w:r>
          </w:p>
        </w:tc>
        <w:tc>
          <w:tcPr>
            <w:tcW w:w="5492" w:type="dxa"/>
            <w:gridSpan w:val="3"/>
          </w:tcPr>
          <w:p>
            <w:pPr>
              <w:pStyle w:val="11"/>
              <w:spacing w:line="52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769" w:type="dxa"/>
            <w:vAlign w:val="center"/>
          </w:tcPr>
          <w:p>
            <w:pPr>
              <w:pStyle w:val="11"/>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主创人员</w:t>
            </w:r>
          </w:p>
        </w:tc>
        <w:tc>
          <w:tcPr>
            <w:tcW w:w="5492" w:type="dxa"/>
            <w:gridSpan w:val="3"/>
          </w:tcPr>
          <w:p>
            <w:pPr>
              <w:pStyle w:val="11"/>
              <w:spacing w:line="52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3769" w:type="dxa"/>
            <w:vAlign w:val="center"/>
          </w:tcPr>
          <w:p>
            <w:pPr>
              <w:pStyle w:val="11"/>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节目主题</w:t>
            </w:r>
          </w:p>
        </w:tc>
        <w:tc>
          <w:tcPr>
            <w:tcW w:w="5492" w:type="dxa"/>
            <w:gridSpan w:val="3"/>
          </w:tcPr>
          <w:p>
            <w:pPr>
              <w:pStyle w:val="11"/>
              <w:spacing w:line="520" w:lineRule="exact"/>
              <w:rPr>
                <w:rFonts w:ascii="仿宋_GB2312" w:eastAsia="仿宋_GB2312"/>
                <w:sz w:val="24"/>
                <w:szCs w:val="24"/>
              </w:rPr>
            </w:pPr>
          </w:p>
          <w:p>
            <w:pPr>
              <w:pStyle w:val="11"/>
              <w:spacing w:line="52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3769" w:type="dxa"/>
            <w:vAlign w:val="center"/>
          </w:tcPr>
          <w:p>
            <w:pPr>
              <w:pStyle w:val="11"/>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推荐单位意见</w:t>
            </w:r>
          </w:p>
        </w:tc>
        <w:tc>
          <w:tcPr>
            <w:tcW w:w="5492" w:type="dxa"/>
            <w:gridSpan w:val="3"/>
          </w:tcPr>
          <w:p>
            <w:pPr>
              <w:pStyle w:val="11"/>
              <w:spacing w:line="520" w:lineRule="exact"/>
              <w:rPr>
                <w:rFonts w:ascii="仿宋_GB2312" w:eastAsia="仿宋_GB2312"/>
                <w:sz w:val="24"/>
                <w:szCs w:val="24"/>
              </w:rPr>
            </w:pPr>
          </w:p>
          <w:p>
            <w:pPr>
              <w:pStyle w:val="11"/>
              <w:spacing w:line="520" w:lineRule="exact"/>
              <w:rPr>
                <w:rFonts w:ascii="仿宋_GB2312" w:eastAsia="仿宋_GB2312"/>
                <w:sz w:val="24"/>
                <w:szCs w:val="24"/>
              </w:rPr>
            </w:pPr>
          </w:p>
          <w:p>
            <w:pPr>
              <w:pStyle w:val="11"/>
              <w:spacing w:line="520" w:lineRule="exac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3769" w:type="dxa"/>
            <w:vAlign w:val="center"/>
          </w:tcPr>
          <w:p>
            <w:pPr>
              <w:pStyle w:val="11"/>
              <w:spacing w:line="520" w:lineRule="exact"/>
              <w:jc w:val="center"/>
              <w:rPr>
                <w:rFonts w:ascii="仿宋_GB2312" w:hAnsi="楷体" w:eastAsia="仿宋_GB2312" w:cs="楷体"/>
                <w:bCs/>
                <w:sz w:val="24"/>
                <w:szCs w:val="24"/>
              </w:rPr>
            </w:pPr>
            <w:r>
              <w:rPr>
                <w:rFonts w:hint="eastAsia" w:ascii="仿宋_GB2312" w:hAnsi="楷体" w:eastAsia="仿宋_GB2312" w:cs="楷体"/>
                <w:bCs/>
                <w:sz w:val="24"/>
                <w:szCs w:val="24"/>
              </w:rPr>
              <w:t>市级广电行政部门意见（盖章）</w:t>
            </w:r>
          </w:p>
        </w:tc>
        <w:tc>
          <w:tcPr>
            <w:tcW w:w="5492" w:type="dxa"/>
            <w:gridSpan w:val="3"/>
          </w:tcPr>
          <w:p>
            <w:pPr>
              <w:pStyle w:val="11"/>
              <w:spacing w:line="520" w:lineRule="exact"/>
              <w:rPr>
                <w:rFonts w:ascii="仿宋_GB2312" w:hAnsi="楷体" w:eastAsia="仿宋_GB2312" w:cs="楷体"/>
                <w:sz w:val="24"/>
                <w:szCs w:val="24"/>
              </w:rPr>
            </w:pPr>
          </w:p>
        </w:tc>
      </w:tr>
    </w:tbl>
    <w:p>
      <w:pPr>
        <w:pStyle w:val="11"/>
        <w:spacing w:line="560" w:lineRule="exact"/>
        <w:jc w:val="left"/>
        <w:rPr>
          <w:rFonts w:ascii="楷体_GB2312" w:hAnsi="楷体" w:eastAsia="楷体_GB2312" w:cs="楷体"/>
          <w:sz w:val="18"/>
          <w:szCs w:val="18"/>
        </w:rPr>
      </w:pPr>
      <w:r>
        <w:rPr>
          <w:rFonts w:hint="eastAsia" w:ascii="楷体_GB2312" w:hAnsi="楷体" w:eastAsia="楷体_GB2312" w:cs="楷体"/>
          <w:sz w:val="18"/>
          <w:szCs w:val="18"/>
        </w:rPr>
        <w:t>（正面）</w:t>
      </w:r>
    </w:p>
    <w:tbl>
      <w:tblPr>
        <w:tblStyle w:val="6"/>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8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3" w:hRule="atLeast"/>
          <w:jc w:val="center"/>
        </w:trPr>
        <w:tc>
          <w:tcPr>
            <w:tcW w:w="742" w:type="dxa"/>
            <w:vAlign w:val="center"/>
          </w:tcPr>
          <w:p>
            <w:pPr>
              <w:pStyle w:val="11"/>
              <w:spacing w:line="560" w:lineRule="exact"/>
              <w:jc w:val="center"/>
              <w:rPr>
                <w:rFonts w:ascii="黑体" w:eastAsia="黑体"/>
                <w:sz w:val="32"/>
                <w:szCs w:val="32"/>
              </w:rPr>
            </w:pPr>
            <w:r>
              <w:rPr>
                <w:rFonts w:hint="eastAsia" w:ascii="黑体" w:eastAsia="黑体"/>
                <w:sz w:val="32"/>
                <w:szCs w:val="32"/>
              </w:rPr>
              <w:t>作</w:t>
            </w:r>
          </w:p>
          <w:p>
            <w:pPr>
              <w:pStyle w:val="11"/>
              <w:spacing w:line="560" w:lineRule="exact"/>
              <w:jc w:val="center"/>
              <w:rPr>
                <w:rFonts w:ascii="黑体" w:eastAsia="黑体"/>
                <w:sz w:val="32"/>
                <w:szCs w:val="32"/>
              </w:rPr>
            </w:pPr>
            <w:r>
              <w:rPr>
                <w:rFonts w:hint="eastAsia" w:ascii="黑体" w:eastAsia="黑体"/>
                <w:sz w:val="32"/>
                <w:szCs w:val="32"/>
              </w:rPr>
              <w:t>品</w:t>
            </w:r>
          </w:p>
          <w:p>
            <w:pPr>
              <w:pStyle w:val="11"/>
              <w:spacing w:line="560" w:lineRule="exact"/>
              <w:jc w:val="center"/>
              <w:rPr>
                <w:rFonts w:ascii="黑体" w:eastAsia="黑体"/>
                <w:sz w:val="32"/>
                <w:szCs w:val="32"/>
              </w:rPr>
            </w:pPr>
            <w:r>
              <w:rPr>
                <w:rFonts w:hint="eastAsia" w:ascii="黑体" w:eastAsia="黑体"/>
                <w:sz w:val="32"/>
                <w:szCs w:val="32"/>
              </w:rPr>
              <w:t>内</w:t>
            </w:r>
          </w:p>
          <w:p>
            <w:pPr>
              <w:pStyle w:val="11"/>
              <w:spacing w:line="560" w:lineRule="exact"/>
              <w:jc w:val="center"/>
              <w:rPr>
                <w:rFonts w:ascii="黑体" w:eastAsia="黑体"/>
                <w:sz w:val="32"/>
                <w:szCs w:val="32"/>
              </w:rPr>
            </w:pPr>
            <w:r>
              <w:rPr>
                <w:rFonts w:hint="eastAsia" w:ascii="黑体" w:eastAsia="黑体"/>
                <w:sz w:val="32"/>
                <w:szCs w:val="32"/>
              </w:rPr>
              <w:t>容</w:t>
            </w:r>
          </w:p>
          <w:p>
            <w:pPr>
              <w:pStyle w:val="11"/>
              <w:spacing w:line="560" w:lineRule="exact"/>
              <w:jc w:val="center"/>
              <w:rPr>
                <w:rFonts w:ascii="黑体" w:eastAsia="黑体"/>
                <w:sz w:val="32"/>
                <w:szCs w:val="32"/>
              </w:rPr>
            </w:pPr>
            <w:r>
              <w:rPr>
                <w:rFonts w:hint="eastAsia" w:ascii="黑体" w:eastAsia="黑体"/>
                <w:sz w:val="32"/>
                <w:szCs w:val="32"/>
              </w:rPr>
              <w:t>简</w:t>
            </w:r>
          </w:p>
          <w:p>
            <w:pPr>
              <w:pStyle w:val="11"/>
              <w:spacing w:line="560" w:lineRule="exact"/>
              <w:jc w:val="center"/>
              <w:rPr>
                <w:rFonts w:ascii="黑体" w:eastAsia="黑体"/>
                <w:sz w:val="32"/>
                <w:szCs w:val="32"/>
              </w:rPr>
            </w:pPr>
            <w:r>
              <w:rPr>
                <w:rFonts w:hint="eastAsia" w:ascii="黑体" w:eastAsia="黑体"/>
                <w:sz w:val="32"/>
                <w:szCs w:val="32"/>
              </w:rPr>
              <w:t>介</w:t>
            </w:r>
          </w:p>
        </w:tc>
        <w:tc>
          <w:tcPr>
            <w:tcW w:w="8336" w:type="dxa"/>
            <w:vAlign w:val="center"/>
          </w:tcPr>
          <w:p>
            <w:pPr>
              <w:pStyle w:val="11"/>
              <w:spacing w:line="560" w:lineRule="exact"/>
              <w:rPr>
                <w:rFonts w:ascii="黑体" w:eastAsia="黑体"/>
                <w:sz w:val="32"/>
                <w:szCs w:val="32"/>
              </w:rPr>
            </w:pPr>
          </w:p>
        </w:tc>
      </w:tr>
    </w:tbl>
    <w:p>
      <w:pPr>
        <w:pStyle w:val="11"/>
        <w:spacing w:line="560" w:lineRule="exact"/>
        <w:rPr>
          <w:rFonts w:ascii="楷体_GB2312" w:hAnsi="楷体" w:eastAsia="楷体_GB2312" w:cs="楷体"/>
          <w:sz w:val="18"/>
          <w:szCs w:val="18"/>
        </w:rPr>
        <w:sectPr>
          <w:pgSz w:w="11906" w:h="16838"/>
          <w:pgMar w:top="2098" w:right="1474" w:bottom="1985" w:left="1588" w:header="851" w:footer="1588" w:gutter="0"/>
          <w:cols w:space="720" w:num="1"/>
          <w:docGrid w:type="lines" w:linePitch="312" w:charSpace="0"/>
        </w:sectPr>
      </w:pPr>
      <w:r>
        <w:rPr>
          <w:rFonts w:hint="eastAsia" w:ascii="楷体_GB2312" w:hAnsi="楷体" w:eastAsia="楷体_GB2312" w:cs="楷体"/>
          <w:sz w:val="18"/>
          <w:szCs w:val="18"/>
        </w:rPr>
        <w:t>（反面）</w:t>
      </w:r>
    </w:p>
    <w:p>
      <w:pPr>
        <w:spacing w:line="560" w:lineRule="exact"/>
        <w:ind w:right="568"/>
        <w:jc w:val="center"/>
        <w:rPr>
          <w:rFonts w:ascii="方正小标宋简体" w:hAnsi="仿宋" w:eastAsia="方正小标宋简体"/>
          <w:bCs/>
          <w:color w:val="000000"/>
          <w:sz w:val="40"/>
          <w:szCs w:val="40"/>
        </w:rPr>
      </w:pPr>
      <w:r>
        <w:rPr>
          <w:rFonts w:hint="eastAsia" w:ascii="方正小标宋简体" w:hAnsi="黑体" w:eastAsia="方正小标宋简体"/>
          <w:bCs/>
          <w:color w:val="000000"/>
          <w:sz w:val="40"/>
          <w:szCs w:val="40"/>
        </w:rPr>
        <w:t>填  表  说  明</w:t>
      </w:r>
    </w:p>
    <w:p>
      <w:pPr>
        <w:spacing w:line="560" w:lineRule="exact"/>
        <w:ind w:right="567"/>
        <w:rPr>
          <w:rFonts w:ascii="宋体" w:hAnsi="宋体"/>
          <w:color w:val="000000"/>
          <w:sz w:val="24"/>
          <w:szCs w:val="24"/>
        </w:rPr>
      </w:pP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一、本表请使用计算机如实准确填写各项内容。</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二、本表填报字体请使用宋体14号。</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三、如为专为此次活动创作的节目首播时间及播放网站处请注明专为此次活动创作。</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四、作品权利人需要与版权承诺书一致。</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五、主创人员需包括导演、编剧、主演，总人数不超过5人。</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六、作品内容简介字数需500字以上。</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七、本表前九行及内容简介由推荐单位填写并盖章。</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八、表格右上角序号请市级广电行政部门按作品顺序表编号。</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九、请按“填表说明”的要求，准确、清晰地填写推荐表各栏内容，所有项目都为必填，请勿空白。</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十、各推荐单位若有不明问题，请联系省级广电行政部门。</w:t>
      </w:r>
    </w:p>
    <w:p>
      <w:pPr>
        <w:spacing w:line="560" w:lineRule="exact"/>
        <w:ind w:firstLine="640" w:firstLineChars="200"/>
        <w:rPr>
          <w:rFonts w:ascii="仿宋_GB2312" w:hAnsi="宋体" w:eastAsia="仿宋_GB2312"/>
          <w:color w:val="000000"/>
          <w:sz w:val="32"/>
          <w:szCs w:val="32"/>
        </w:rPr>
      </w:pPr>
      <w:r>
        <w:rPr>
          <w:rFonts w:hint="eastAsia" w:ascii="仿宋_GB2312" w:hAnsi="宋体" w:eastAsia="仿宋_GB2312"/>
          <w:color w:val="000000"/>
          <w:sz w:val="32"/>
          <w:szCs w:val="32"/>
        </w:rPr>
        <w:t>十一、该表格所有项目均为必填项，且必须由推荐单位和市级广电部门盖章，否则无效。作品权利人如为机构不可写个人。</w:t>
      </w:r>
    </w:p>
    <w:p>
      <w:pPr>
        <w:spacing w:line="560" w:lineRule="exact"/>
        <w:rPr>
          <w:rFonts w:ascii="黑体" w:hAnsi="黑体" w:eastAsia="黑体" w:cs="楷体_GB2312"/>
          <w:sz w:val="32"/>
          <w:szCs w:val="32"/>
        </w:rPr>
      </w:pPr>
    </w:p>
    <w:p>
      <w:pPr>
        <w:spacing w:line="560" w:lineRule="exact"/>
        <w:rPr>
          <w:rFonts w:ascii="黑体" w:hAnsi="黑体" w:eastAsia="黑体" w:cs="楷体_GB2312"/>
          <w:sz w:val="32"/>
          <w:szCs w:val="32"/>
        </w:rPr>
      </w:pPr>
    </w:p>
    <w:p>
      <w:pPr>
        <w:spacing w:line="560" w:lineRule="exact"/>
        <w:rPr>
          <w:rFonts w:ascii="黑体" w:hAnsi="黑体" w:eastAsia="黑体" w:cs="楷体_GB2312"/>
          <w:sz w:val="32"/>
          <w:szCs w:val="32"/>
        </w:rPr>
      </w:pPr>
    </w:p>
    <w:p>
      <w:pPr>
        <w:spacing w:line="560" w:lineRule="exact"/>
        <w:rPr>
          <w:rFonts w:ascii="黑体" w:hAnsi="黑体" w:eastAsia="黑体" w:cs="楷体_GB2312"/>
          <w:sz w:val="32"/>
          <w:szCs w:val="32"/>
        </w:rPr>
      </w:pPr>
    </w:p>
    <w:p>
      <w:pPr>
        <w:spacing w:line="560" w:lineRule="exact"/>
        <w:rPr>
          <w:rFonts w:ascii="黑体" w:hAnsi="黑体" w:eastAsia="黑体" w:cs="楷体_GB2312"/>
          <w:sz w:val="32"/>
          <w:szCs w:val="32"/>
        </w:rPr>
      </w:pPr>
    </w:p>
    <w:p>
      <w:pPr>
        <w:spacing w:line="560" w:lineRule="exact"/>
        <w:rPr>
          <w:rFonts w:ascii="黑体" w:hAnsi="黑体" w:eastAsia="黑体" w:cs="楷体_GB2312"/>
          <w:sz w:val="32"/>
          <w:szCs w:val="32"/>
        </w:rPr>
      </w:pPr>
      <w:r>
        <w:rPr>
          <w:sz w:val="32"/>
        </w:rPr>
        <w:drawing>
          <wp:anchor distT="0" distB="0" distL="114300" distR="114300" simplePos="0" relativeHeight="251659264" behindDoc="0" locked="0" layoutInCell="1" allowOverlap="1">
            <wp:simplePos x="0" y="0"/>
            <wp:positionH relativeFrom="page">
              <wp:posOffset>4653280</wp:posOffset>
            </wp:positionH>
            <wp:positionV relativeFrom="page">
              <wp:posOffset>9539605</wp:posOffset>
            </wp:positionV>
            <wp:extent cx="1790700" cy="552450"/>
            <wp:effectExtent l="0" t="0" r="0" b="0"/>
            <wp:wrapNone/>
            <wp:docPr id="1" name="图片 1" descr="qt_temp"/>
            <wp:cNvGraphicFramePr>
              <a:graphicFrameLocks xmlns:a="http://schemas.openxmlformats.org/drawingml/2006/main" noChangeAspect="1"/>
            </wp:cNvGraphicFramePr>
            <mc:AlternateContent>
              <mc:Choice Requires="wpsCustomData">
                <wpsCustomData:docBarcodeText>R0IwNjI2LTIwMDVeZmpnZG1nMjAyNDExNGhe56aP5bu655yB5bm/5pKt55S16KeG5bGAXumXveW5v+OAlDIwMjTjgJUxMTTlj7de6YCa55+lXuWQhOiuvuWMuuW4guaWh+aXheWxgO+8iOW5v+eUteWxgO+8ieetiV7npo/lu7rnnIHlub/mkq3nlLXop4blsYDlhbPkuo7lvIDlsZUyMDI05bm04oCc5Lit5Zu95qKmIOaWsOW+geeoi+KAneWOn+WIm+e9kee7nOinhuWQrOiKguebruW+gembhuWxleaSrea0u+WKqOeahOmAmuefpV7ml6Be5YWs5paH77ya5pegXjIwMjQwNTA2Xl7npo/lu7rnnIHlub/mkq3nlLXop4blsYBeMjAyNDA1MDZefA==</wpsCustomData:docBarcodeText>
              </mc:Choice>
            </mc:AlternateContent>
            <a:graphic xmlns:a="http://schemas.openxmlformats.org/drawingml/2006/main">
              <a:graphicData uri="http://schemas.openxmlformats.org/drawingml/2006/picture">
                <pic:pic xmlns:pic="http://schemas.openxmlformats.org/drawingml/2006/picture">
                  <pic:nvPicPr>
                    <pic:cNvPr id="1" name="图片 1" descr="qt_temp"/>
                    <pic:cNvPicPr>
                      <a:picLocks noChangeAspect="1"/>
                    </pic:cNvPicPr>
                  </pic:nvPicPr>
                  <pic:blipFill>
                    <a:blip r:embed="rId8"/>
                    <a:stretch>
                      <a:fillRect/>
                    </a:stretch>
                  </pic:blipFill>
                  <pic:spPr>
                    <a:xfrm>
                      <a:off x="0" y="0"/>
                      <a:ext cx="1790700" cy="552450"/>
                    </a:xfrm>
                    <a:prstGeom prst="rect">
                      <a:avLst/>
                    </a:prstGeom>
                  </pic:spPr>
                </pic:pic>
              </a:graphicData>
            </a:graphic>
          </wp:anchor>
        </w:drawing>
      </w:r>
      <w:r>
        <w:rPr>
          <w:rFonts w:hint="eastAsia" w:ascii="黑体" w:hAnsi="黑体" w:eastAsia="黑体" w:cs="楷体_GB2312"/>
          <w:sz w:val="32"/>
          <w:szCs w:val="32"/>
        </w:rPr>
        <w:t>附件3</w:t>
      </w:r>
    </w:p>
    <w:p>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版权承诺书</w:t>
      </w:r>
    </w:p>
    <w:p>
      <w:pPr>
        <w:spacing w:line="560" w:lineRule="exact"/>
        <w:ind w:firstLine="660"/>
        <w:rPr>
          <w:rFonts w:ascii="楷体_GB2312" w:hAnsi="黑体" w:eastAsia="楷体_GB2312"/>
          <w:sz w:val="28"/>
          <w:szCs w:val="28"/>
        </w:rPr>
      </w:pPr>
    </w:p>
    <w:p>
      <w:pPr>
        <w:spacing w:line="560" w:lineRule="exact"/>
        <w:ind w:firstLine="660"/>
        <w:rPr>
          <w:rFonts w:ascii="楷体_GB2312" w:hAnsi="黑体" w:eastAsia="楷体_GB2312"/>
          <w:sz w:val="28"/>
          <w:szCs w:val="28"/>
        </w:rPr>
      </w:pPr>
      <w:r>
        <w:rPr>
          <w:rFonts w:hint="eastAsia" w:ascii="楷体_GB2312" w:hAnsi="黑体" w:eastAsia="楷体_GB2312"/>
          <w:sz w:val="28"/>
          <w:szCs w:val="28"/>
        </w:rPr>
        <w:t>本单位/本人就授权给参选“中国梦 新征程”主题原创网络视听节目活动的作品（以下简称“授权作品”）</w:t>
      </w:r>
    </w:p>
    <w:p>
      <w:pPr>
        <w:spacing w:line="560" w:lineRule="exact"/>
        <w:rPr>
          <w:rFonts w:ascii="楷体_GB2312" w:hAnsi="黑体" w:eastAsia="楷体_GB2312"/>
          <w:sz w:val="28"/>
          <w:szCs w:val="28"/>
        </w:rPr>
      </w:pPr>
      <w:r>
        <w:rPr>
          <w:rFonts w:hint="eastAsia" w:ascii="楷体_GB2312" w:hAnsi="黑体" w:eastAsia="楷体_GB2312"/>
          <w:sz w:val="28"/>
          <w:szCs w:val="28"/>
        </w:rPr>
        <w:t>的版权和内容承诺如下：</w:t>
      </w:r>
    </w:p>
    <w:p>
      <w:pPr>
        <w:spacing w:line="560" w:lineRule="exact"/>
        <w:ind w:firstLine="660"/>
        <w:rPr>
          <w:rFonts w:ascii="楷体_GB2312" w:hAnsi="黑体" w:eastAsia="楷体_GB2312"/>
          <w:sz w:val="28"/>
          <w:szCs w:val="28"/>
        </w:rPr>
      </w:pPr>
      <w:r>
        <w:rPr>
          <w:rFonts w:hint="eastAsia" w:ascii="楷体_GB2312" w:hAnsi="黑体" w:eastAsia="楷体_GB2312"/>
          <w:sz w:val="28"/>
          <w:szCs w:val="28"/>
        </w:rPr>
        <w:t>1、本单位/本人保证具有签署本承诺书并履行相应义务的权利和授权，确保参加此次活动不会与其他方权利相冲突。</w:t>
      </w:r>
    </w:p>
    <w:p>
      <w:pPr>
        <w:spacing w:line="560" w:lineRule="exact"/>
        <w:ind w:firstLine="660"/>
        <w:rPr>
          <w:rFonts w:ascii="楷体_GB2312" w:hAnsi="黑体" w:eastAsia="楷体_GB2312"/>
          <w:sz w:val="28"/>
          <w:szCs w:val="28"/>
        </w:rPr>
      </w:pPr>
      <w:r>
        <w:rPr>
          <w:rFonts w:hint="eastAsia" w:ascii="楷体_GB2312" w:hAnsi="黑体" w:eastAsia="楷体_GB2312"/>
          <w:sz w:val="28"/>
          <w:szCs w:val="28"/>
        </w:rPr>
        <w:t>2、本单位/本人保证对授权作品拥有完整独立著作权、版权、邻接权及信息网络传播权及转授权等所有权益，持有相关证明文件或授权文件，并同意将作品在活动期间在网上进行免费展播。</w:t>
      </w:r>
    </w:p>
    <w:p>
      <w:pPr>
        <w:spacing w:line="560" w:lineRule="exact"/>
        <w:ind w:firstLine="660"/>
        <w:rPr>
          <w:rFonts w:ascii="楷体_GB2312" w:hAnsi="黑体" w:eastAsia="楷体_GB2312"/>
          <w:sz w:val="28"/>
          <w:szCs w:val="28"/>
        </w:rPr>
      </w:pPr>
      <w:r>
        <w:rPr>
          <w:rFonts w:hint="eastAsia" w:ascii="楷体_GB2312" w:hAnsi="黑体" w:eastAsia="楷体_GB2312"/>
          <w:sz w:val="28"/>
          <w:szCs w:val="28"/>
        </w:rPr>
        <w:t>3、本单位/本人保证所有授权作品的版权和内容不违反法律法规、不侵犯任何第三方的版权以及其他合法权利，对由于授权作品的内容或权利瑕疵引发的争议或权利纠纷承担全部法律责任。</w:t>
      </w:r>
    </w:p>
    <w:p>
      <w:pPr>
        <w:spacing w:line="560" w:lineRule="exact"/>
        <w:ind w:firstLine="660"/>
        <w:rPr>
          <w:rFonts w:ascii="楷体_GB2312" w:hAnsi="黑体" w:eastAsia="楷体_GB2312"/>
          <w:sz w:val="28"/>
          <w:szCs w:val="28"/>
        </w:rPr>
      </w:pPr>
      <w:r>
        <w:rPr>
          <w:rFonts w:hint="eastAsia" w:ascii="楷体_GB2312" w:hAnsi="黑体" w:eastAsia="楷体_GB2312"/>
          <w:sz w:val="28"/>
          <w:szCs w:val="28"/>
        </w:rPr>
        <w:t>4、本单位/本人保证所有授权作品的相关作品及作者信息真实有效。</w:t>
      </w:r>
    </w:p>
    <w:p>
      <w:pPr>
        <w:spacing w:line="560" w:lineRule="exact"/>
        <w:ind w:firstLine="660"/>
        <w:rPr>
          <w:rFonts w:ascii="楷体_GB2312" w:hAnsi="黑体" w:eastAsia="楷体_GB2312"/>
          <w:sz w:val="28"/>
          <w:szCs w:val="28"/>
        </w:rPr>
      </w:pPr>
      <w:r>
        <w:rPr>
          <w:rFonts w:hint="eastAsia" w:ascii="楷体_GB2312" w:hAnsi="黑体" w:eastAsia="楷体_GB2312"/>
          <w:sz w:val="28"/>
          <w:szCs w:val="28"/>
        </w:rPr>
        <w:t>5、本单位/本人保证所有授权作品没有在多家省局或中央直属单位重复参选，否则视为主动放弃。</w:t>
      </w:r>
    </w:p>
    <w:p>
      <w:pPr>
        <w:spacing w:line="560" w:lineRule="exact"/>
        <w:rPr>
          <w:rFonts w:ascii="楷体_GB2312" w:hAnsi="黑体" w:eastAsia="楷体_GB2312"/>
          <w:sz w:val="28"/>
          <w:szCs w:val="28"/>
        </w:rPr>
      </w:pPr>
      <w:r>
        <w:rPr>
          <w:rFonts w:hint="eastAsia" w:ascii="楷体_GB2312" w:hAnsi="黑体" w:eastAsia="楷体_GB2312"/>
          <w:sz w:val="28"/>
          <w:szCs w:val="28"/>
        </w:rPr>
        <w:t>承诺单位/人：                                    （盖章/签字）</w:t>
      </w:r>
    </w:p>
    <w:p>
      <w:pPr>
        <w:spacing w:line="560" w:lineRule="exact"/>
        <w:rPr>
          <w:rFonts w:ascii="楷体_GB2312" w:hAnsi="黑体" w:eastAsia="楷体_GB2312"/>
          <w:sz w:val="28"/>
          <w:szCs w:val="28"/>
        </w:rPr>
      </w:pPr>
      <w:r>
        <w:rPr>
          <w:rFonts w:hint="eastAsia" w:ascii="楷体_GB2312" w:hAnsi="黑体" w:eastAsia="楷体_GB2312"/>
          <w:sz w:val="28"/>
          <w:szCs w:val="28"/>
        </w:rPr>
        <w:t>联系人及联系电话（非常重要）：                      年  月  日</w:t>
      </w:r>
    </w:p>
    <w:p>
      <w:pPr>
        <w:spacing w:line="560" w:lineRule="exact"/>
        <w:rPr>
          <w:rFonts w:ascii="楷体_GB2312" w:hAnsi="黑体" w:eastAsia="楷体_GB2312"/>
          <w:sz w:val="28"/>
          <w:szCs w:val="28"/>
        </w:rPr>
      </w:pPr>
      <w:r>
        <w:rPr>
          <w:rFonts w:hint="eastAsia" w:ascii="楷体_GB2312" w:hAnsi="黑体" w:eastAsia="楷体_GB2312"/>
          <w:sz w:val="28"/>
          <w:szCs w:val="28"/>
        </w:rPr>
        <w:t>地址：</w:t>
      </w:r>
    </w:p>
    <w:p>
      <w:pPr>
        <w:spacing w:line="560" w:lineRule="exact"/>
        <w:rPr>
          <w:rFonts w:ascii="楷体_GB2312" w:hAnsi="黑体" w:eastAsia="楷体_GB2312"/>
          <w:b/>
          <w:sz w:val="28"/>
          <w:szCs w:val="28"/>
        </w:rPr>
      </w:pPr>
    </w:p>
    <w:p>
      <w:pPr>
        <w:pBdr>
          <w:top w:val="single" w:color="auto" w:sz="4" w:space="1"/>
          <w:bottom w:val="single" w:color="auto" w:sz="4" w:space="1"/>
        </w:pBdr>
        <w:spacing w:line="560" w:lineRule="exact"/>
        <w:ind w:firstLine="280" w:firstLineChars="100"/>
        <w:rPr>
          <w:rFonts w:ascii="仿宋_GB2312" w:eastAsia="仿宋_GB2312"/>
          <w:sz w:val="28"/>
          <w:szCs w:val="28"/>
        </w:rPr>
      </w:pPr>
      <w:r>
        <w:rPr>
          <w:rFonts w:hint="eastAsia" w:ascii="仿宋_GB2312" w:eastAsia="仿宋_GB2312"/>
          <w:sz w:val="28"/>
          <w:szCs w:val="28"/>
        </w:rPr>
        <w:t xml:space="preserve">福建省广播电视局办公室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2024年5月6日印发</w:t>
      </w:r>
    </w:p>
    <w:sectPr>
      <w:footerReference r:id="rId5" w:type="default"/>
      <w:footerReference r:id="rId6" w:type="even"/>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3516690"/>
      <w:docPartObj>
        <w:docPartGallery w:val="autotext"/>
      </w:docPartObj>
    </w:sdtPr>
    <w:sdtEndPr>
      <w:rPr>
        <w:rFonts w:asciiTheme="minorEastAsia" w:hAnsiTheme="minorEastAsia"/>
        <w:sz w:val="28"/>
        <w:szCs w:val="28"/>
      </w:rPr>
    </w:sdtEndPr>
    <w:sdtContent>
      <w:p>
        <w:pPr>
          <w:pStyle w:val="4"/>
          <w:ind w:right="18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11</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6682829"/>
      <w:docPartObj>
        <w:docPartGallery w:val="autotext"/>
      </w:docPartObj>
    </w:sdtPr>
    <w:sdtEndPr>
      <w:rPr>
        <w:rFonts w:asciiTheme="minorEastAsia" w:hAnsiTheme="minorEastAsia"/>
        <w:sz w:val="28"/>
        <w:szCs w:val="28"/>
      </w:rPr>
    </w:sdtEndPr>
    <w:sdtContent>
      <w:p>
        <w:pPr>
          <w:pStyle w:val="4"/>
          <w:ind w:firstLine="180" w:firstLineChars="1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OTBiZGY0MTgwM2ZlZmE2YjlmYjYzMTFhYTU5YzkifQ=="/>
  </w:docVars>
  <w:rsids>
    <w:rsidRoot w:val="00A13D23"/>
    <w:rsid w:val="00027DA2"/>
    <w:rsid w:val="00031CB3"/>
    <w:rsid w:val="000324FB"/>
    <w:rsid w:val="0009681E"/>
    <w:rsid w:val="000E1EE2"/>
    <w:rsid w:val="00182B2D"/>
    <w:rsid w:val="00187D4B"/>
    <w:rsid w:val="001A0867"/>
    <w:rsid w:val="002171A0"/>
    <w:rsid w:val="00260BD9"/>
    <w:rsid w:val="00292AAD"/>
    <w:rsid w:val="002A5C4A"/>
    <w:rsid w:val="002B371B"/>
    <w:rsid w:val="0037747E"/>
    <w:rsid w:val="00385A59"/>
    <w:rsid w:val="003E1668"/>
    <w:rsid w:val="003F4127"/>
    <w:rsid w:val="004002C5"/>
    <w:rsid w:val="00405C61"/>
    <w:rsid w:val="004C3DE3"/>
    <w:rsid w:val="004C5002"/>
    <w:rsid w:val="00566799"/>
    <w:rsid w:val="005B5197"/>
    <w:rsid w:val="006068D4"/>
    <w:rsid w:val="00660AF4"/>
    <w:rsid w:val="006F4428"/>
    <w:rsid w:val="00724403"/>
    <w:rsid w:val="00731CE4"/>
    <w:rsid w:val="00732559"/>
    <w:rsid w:val="007924F7"/>
    <w:rsid w:val="00793AC2"/>
    <w:rsid w:val="007A30A4"/>
    <w:rsid w:val="0086308C"/>
    <w:rsid w:val="00875CCC"/>
    <w:rsid w:val="008925E5"/>
    <w:rsid w:val="00894361"/>
    <w:rsid w:val="0095088E"/>
    <w:rsid w:val="009C4C68"/>
    <w:rsid w:val="00A13D23"/>
    <w:rsid w:val="00A645A7"/>
    <w:rsid w:val="00AA5833"/>
    <w:rsid w:val="00AB4C89"/>
    <w:rsid w:val="00AC1F66"/>
    <w:rsid w:val="00B445D3"/>
    <w:rsid w:val="00B47E98"/>
    <w:rsid w:val="00BD7CBA"/>
    <w:rsid w:val="00BD7F1A"/>
    <w:rsid w:val="00C454EC"/>
    <w:rsid w:val="00C773A0"/>
    <w:rsid w:val="00C81461"/>
    <w:rsid w:val="00CE2A21"/>
    <w:rsid w:val="00D16C93"/>
    <w:rsid w:val="00DB0099"/>
    <w:rsid w:val="00DB7C5A"/>
    <w:rsid w:val="00DC4E22"/>
    <w:rsid w:val="00DE38EA"/>
    <w:rsid w:val="00E46FBB"/>
    <w:rsid w:val="00E56813"/>
    <w:rsid w:val="00E74FE5"/>
    <w:rsid w:val="00E817EC"/>
    <w:rsid w:val="00E94C24"/>
    <w:rsid w:val="00F019E6"/>
    <w:rsid w:val="00F522E0"/>
    <w:rsid w:val="00F623ED"/>
    <w:rsid w:val="00FA5009"/>
    <w:rsid w:val="00FB1EBE"/>
    <w:rsid w:val="03183031"/>
    <w:rsid w:val="093F3D85"/>
    <w:rsid w:val="0EB67D00"/>
    <w:rsid w:val="121F0548"/>
    <w:rsid w:val="12B35F90"/>
    <w:rsid w:val="13960BAF"/>
    <w:rsid w:val="14293192"/>
    <w:rsid w:val="1A170703"/>
    <w:rsid w:val="200A4C9E"/>
    <w:rsid w:val="25B145C4"/>
    <w:rsid w:val="2897746D"/>
    <w:rsid w:val="2A3850DA"/>
    <w:rsid w:val="2A5771FB"/>
    <w:rsid w:val="2E664F2B"/>
    <w:rsid w:val="3276115D"/>
    <w:rsid w:val="34493CE0"/>
    <w:rsid w:val="37F8450D"/>
    <w:rsid w:val="381937A2"/>
    <w:rsid w:val="39A333BC"/>
    <w:rsid w:val="3B272525"/>
    <w:rsid w:val="3E752541"/>
    <w:rsid w:val="458A1FC7"/>
    <w:rsid w:val="45E13CBE"/>
    <w:rsid w:val="4B00262C"/>
    <w:rsid w:val="4B442730"/>
    <w:rsid w:val="4BEF2CE7"/>
    <w:rsid w:val="522D0AB9"/>
    <w:rsid w:val="52D5676C"/>
    <w:rsid w:val="5F5F6BC4"/>
    <w:rsid w:val="5FF86076"/>
    <w:rsid w:val="632816DF"/>
    <w:rsid w:val="68644F68"/>
    <w:rsid w:val="693051E9"/>
    <w:rsid w:val="69E33F5E"/>
    <w:rsid w:val="6A32621E"/>
    <w:rsid w:val="6D323B6A"/>
    <w:rsid w:val="711B403E"/>
    <w:rsid w:val="7B67070D"/>
    <w:rsid w:val="7DFF5AD1"/>
    <w:rsid w:val="7EFE81E1"/>
    <w:rsid w:val="BFBFC917"/>
    <w:rsid w:val="CB5F4FE2"/>
    <w:rsid w:val="EFF5B7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Balloon Text"/>
    <w:basedOn w:val="1"/>
    <w:link w:val="12"/>
    <w:autoRedefine/>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Hyperlink"/>
    <w:basedOn w:val="7"/>
    <w:autoRedefine/>
    <w:unhideWhenUsed/>
    <w:qFormat/>
    <w:uiPriority w:val="99"/>
    <w:rPr>
      <w:color w:val="0000FF"/>
      <w:u w:val="single"/>
    </w:rPr>
  </w:style>
  <w:style w:type="character" w:customStyle="1" w:styleId="9">
    <w:name w:val="页眉 Char"/>
    <w:basedOn w:val="7"/>
    <w:link w:val="5"/>
    <w:autoRedefine/>
    <w:qFormat/>
    <w:uiPriority w:val="99"/>
    <w:rPr>
      <w:sz w:val="18"/>
      <w:szCs w:val="18"/>
    </w:rPr>
  </w:style>
  <w:style w:type="character" w:customStyle="1" w:styleId="10">
    <w:name w:val="页脚 Char"/>
    <w:basedOn w:val="7"/>
    <w:link w:val="4"/>
    <w:autoRedefine/>
    <w:qFormat/>
    <w:uiPriority w:val="99"/>
    <w:rPr>
      <w:sz w:val="18"/>
      <w:szCs w:val="18"/>
    </w:rPr>
  </w:style>
  <w:style w:type="paragraph" w:customStyle="1" w:styleId="11">
    <w:name w:val="正文 New New"/>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
    <w:name w:val="批注框文本 Char"/>
    <w:basedOn w:val="7"/>
    <w:link w:val="3"/>
    <w:autoRedefine/>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3970</Words>
  <Characters>4083</Characters>
  <Lines>32</Lines>
  <Paragraphs>9</Paragraphs>
  <TotalTime>1</TotalTime>
  <ScaleCrop>false</ScaleCrop>
  <LinksUpToDate>false</LinksUpToDate>
  <CharactersWithSpaces>4306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2022-03-05T09:15:00Z</dcterms:created>
  <dc:creator>Windows 用户</dc:creator>
  <cp:lastModifiedBy>柔佳</cp:lastModifiedBy>
  <cp:lastPrinted>2024-05-06T01:51:00Z</cp:lastPrinted>
  <dcterms:modified xsi:type="dcterms:W3CDTF">2024-05-08T07:50:15Z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6CF5236776664CC2ADFA6F7B27CB284C_13</vt:lpwstr>
  </property>
</Properties>
</file>